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0A8A" w14:textId="77777777" w:rsidR="00CD1D34" w:rsidRPr="00DF2524" w:rsidRDefault="00CD1D34" w:rsidP="00CD1D34">
      <w:pPr>
        <w:pStyle w:val="BodyText"/>
        <w:jc w:val="center"/>
        <w:rPr>
          <w:b/>
        </w:rPr>
      </w:pPr>
      <w:r w:rsidRPr="00DF2524">
        <w:rPr>
          <w:b/>
        </w:rPr>
        <w:t>Summary of Major Lead-Based Paint Regulations</w:t>
      </w:r>
    </w:p>
    <w:p w14:paraId="192B385C" w14:textId="77777777" w:rsidR="00CD1D34" w:rsidRPr="00DF2524" w:rsidRDefault="00CD1D34" w:rsidP="00CD1D34">
      <w:pPr>
        <w:pStyle w:val="BodyTex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880"/>
        <w:gridCol w:w="3294"/>
      </w:tblGrid>
      <w:tr w:rsidR="00CD1D34" w:rsidRPr="00DF2524" w14:paraId="16B648D5" w14:textId="77777777" w:rsidTr="00802C4B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14:paraId="2A1DEE4D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&lt; $5000/unit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14:paraId="594BC162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$5000 - $25,000/unit</w:t>
            </w:r>
          </w:p>
        </w:tc>
        <w:tc>
          <w:tcPr>
            <w:tcW w:w="329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000000"/>
            </w:tcBorders>
            <w:shd w:val="solid" w:color="auto" w:fill="auto"/>
          </w:tcPr>
          <w:p w14:paraId="4A46BC65" w14:textId="77777777"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&gt; $25,000/unit</w:t>
            </w:r>
          </w:p>
        </w:tc>
      </w:tr>
      <w:tr w:rsidR="00CD1D34" w:rsidRPr="00DF2524" w14:paraId="31D79B35" w14:textId="77777777" w:rsidTr="00802C4B">
        <w:trPr>
          <w:cantSplit/>
          <w:trHeight w:val="1008"/>
          <w:jc w:val="center"/>
        </w:trPr>
        <w:tc>
          <w:tcPr>
            <w:tcW w:w="97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A8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  <w:p w14:paraId="3D118F38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CFR Part 35, Subpart J contains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lead-based paint requirements specifically for Federally funded rehabilitation work. These requirements apply to HUD programs that provide assistance for rehabilitation, including CPD-funded rehabilitation activities. </w:t>
            </w:r>
          </w:p>
          <w:p w14:paraId="65B0271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lead-based paint requirements for rehabilitation work, as described in this part of the regulation, are the same regardless of the source of program funding,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but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they differ based on the level of funding to a property. </w:t>
            </w:r>
          </w:p>
        </w:tc>
      </w:tr>
      <w:tr w:rsidR="00CD1D34" w:rsidRPr="00DF2524" w14:paraId="2F84CC41" w14:textId="77777777" w:rsidTr="00802C4B">
        <w:trPr>
          <w:cantSplit/>
          <w:trHeight w:val="993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6A068A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Notification</w:t>
            </w:r>
          </w:p>
          <w:p w14:paraId="79899E2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Occupants, owner occupants, and purchasers of assisted properties must receive notification of the potential presence and hazards of lead-based paint. Notification is achieved through the distribution of the EPA/HUD/CPSC lead-based paint hazard information pamphlet.  Occupants must also receive written notice informing them of lead hazard evaluation or reduction activities. </w:t>
            </w:r>
          </w:p>
        </w:tc>
      </w:tr>
      <w:tr w:rsidR="00CD1D34" w:rsidRPr="00DF2524" w14:paraId="00B66C73" w14:textId="77777777" w:rsidTr="00802C4B">
        <w:trPr>
          <w:cantSplit/>
          <w:trHeight w:val="1176"/>
          <w:jc w:val="center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CB92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</w:p>
          <w:p w14:paraId="5B77B0F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Painted surfaces that will be disturbed during rehabilitation must be tested for lead-based paint, unless a surface is assumed to contain lead-based paint.</w:t>
            </w:r>
          </w:p>
        </w:tc>
        <w:tc>
          <w:tcPr>
            <w:tcW w:w="6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86A5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Test surfaces that will be disturbed by the rehabilitation for lead-based paint. For surfaces assumed to contain lead-based paint, testing is not required. </w:t>
            </w:r>
          </w:p>
          <w:p w14:paraId="7CB32C4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An assessment of a dwelling to check for the presence of lead-based paint hazards. It includes a visual assessment of dust, soil, and paint and a written report of the results.</w:t>
            </w:r>
          </w:p>
        </w:tc>
      </w:tr>
      <w:tr w:rsidR="00CD1D34" w:rsidRPr="00DF2524" w14:paraId="6FB2AFC1" w14:textId="77777777" w:rsidTr="00802C4B">
        <w:trPr>
          <w:cantSplit/>
          <w:trHeight w:val="1608"/>
          <w:jc w:val="center"/>
        </w:trPr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B245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A2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14:paraId="6B197D8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the paint testing and risk assessment, and conduct standard treatments.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B54C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14:paraId="6C68132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paint testing and risk assessment, and abate all painted surfaces disturbed during rehabilitation that are presumed to have lead-based paint and all presumed hazards.</w:t>
            </w:r>
          </w:p>
        </w:tc>
      </w:tr>
      <w:tr w:rsidR="00CD1D34" w:rsidRPr="00DF2524" w14:paraId="1244FEF6" w14:textId="77777777" w:rsidTr="00802C4B">
        <w:trPr>
          <w:cantSplit/>
          <w:trHeight w:val="178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662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Paint Repair</w:t>
            </w:r>
          </w:p>
          <w:p w14:paraId="5E1443A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Repair surfaces that are disturbed by rehabilitation in a safe manner.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3514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Lead Hazard Reduction</w:t>
            </w:r>
          </w:p>
          <w:p w14:paraId="40C825F2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during the risk assessment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interim controls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or abatement methods.</w:t>
            </w:r>
          </w:p>
          <w:p w14:paraId="59647B0C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Standard treatments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must be performed when no evaluation is conducted and the presence of lead-based paint hazards is assumed.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5CB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Abatement</w:t>
            </w:r>
          </w:p>
          <w:p w14:paraId="3FD5562A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in units and common areas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abatement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methods.</w:t>
            </w:r>
          </w:p>
          <w:p w14:paraId="7657683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>Lead-based paint hazards on exterior surfaces that are not disturbed during rehabilitation must be controlled using either interim controls or abatement.</w:t>
            </w:r>
          </w:p>
        </w:tc>
      </w:tr>
      <w:tr w:rsidR="00CD1D34" w:rsidRPr="00DF2524" w14:paraId="4D714E21" w14:textId="77777777" w:rsidTr="00802C4B">
        <w:trPr>
          <w:cantSplit/>
          <w:trHeight w:val="879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F137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Safe Work Practices</w:t>
            </w:r>
          </w:p>
          <w:p w14:paraId="2533C09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Rehabilitation work that disturbs surfaces known or assumed to contain lead-based paint must be performed using safe work practices. Safe work practices are not required for work that disturbs surfaces below de minimis</w:t>
            </w:r>
            <w:r w:rsidRPr="00DF2524"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1"/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levels.  There are additional safety precautions for occupant protection, worksite preparation, and cleanup activities.</w:t>
            </w:r>
          </w:p>
        </w:tc>
      </w:tr>
      <w:tr w:rsidR="00CD1D34" w:rsidRPr="00DF2524" w14:paraId="1BBF1A73" w14:textId="77777777" w:rsidTr="00802C4B">
        <w:trPr>
          <w:cantSplit/>
          <w:trHeight w:val="1020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14:paraId="0ECF34F0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Clearance</w:t>
            </w:r>
          </w:p>
          <w:p w14:paraId="3E2E92B6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Once hazard reduction work is completed, a clearance examination must be performed by a certified professional to ensure that no lead-based paint hazards remain.  Clearance involves a visual assessment and dust testing after cleanup is complete.  A clearance report must be prepared. If abatement is conducted, an abatement report is required in place of a clearance report.</w:t>
            </w:r>
          </w:p>
        </w:tc>
      </w:tr>
      <w:tr w:rsidR="00CD1D34" w:rsidRPr="00DF2524" w14:paraId="1FEA9B6A" w14:textId="77777777" w:rsidTr="00802C4B">
        <w:trPr>
          <w:cantSplit/>
          <w:trHeight w:val="495"/>
          <w:jc w:val="center"/>
        </w:trPr>
        <w:tc>
          <w:tcPr>
            <w:tcW w:w="360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D666873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Clearance is required only for the worksite</w:t>
            </w:r>
          </w:p>
        </w:tc>
        <w:tc>
          <w:tcPr>
            <w:tcW w:w="6174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BFDF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Clearance is required for the unit, common areas, and exterior areas where rehabilitation took place. </w:t>
            </w:r>
          </w:p>
        </w:tc>
      </w:tr>
      <w:tr w:rsidR="00CD1D34" w:rsidRPr="00DF2524" w14:paraId="3616D133" w14:textId="77777777" w:rsidTr="00802C4B">
        <w:trPr>
          <w:cantSplit/>
          <w:trHeight w:val="705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FD57" w14:textId="77777777"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Environmental Intervention Blood Lead Level Requirements</w:t>
            </w:r>
          </w:p>
          <w:p w14:paraId="1EFB9F31" w14:textId="77777777"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regulation does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require action by grantees when a child with an environmental intervention blood lead level is found to be living in a unit that has received rehabilitation assistance. </w:t>
            </w:r>
          </w:p>
        </w:tc>
      </w:tr>
    </w:tbl>
    <w:p w14:paraId="2464666C" w14:textId="77777777" w:rsidR="004659DA" w:rsidRDefault="006D2B42"/>
    <w:sectPr w:rsidR="004659DA" w:rsidSect="00E04F95">
      <w:headerReference w:type="default" r:id="rId7"/>
      <w:footerReference w:type="default" r:id="rId8"/>
      <w:pgSz w:w="12240" w:h="15840"/>
      <w:pgMar w:top="1440" w:right="1440" w:bottom="1440" w:left="1440" w:header="72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2333" w14:textId="77777777" w:rsidR="00F017E8" w:rsidRDefault="00F017E8" w:rsidP="00CD1D34">
      <w:r>
        <w:separator/>
      </w:r>
    </w:p>
  </w:endnote>
  <w:endnote w:type="continuationSeparator" w:id="0">
    <w:p w14:paraId="36446945" w14:textId="77777777" w:rsidR="00F017E8" w:rsidRDefault="00F017E8" w:rsidP="00C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040B" w14:textId="46618CBA" w:rsidR="00E04F95" w:rsidRPr="00E04F95" w:rsidRDefault="00945C0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</w:t>
    </w:r>
    <w:r w:rsidR="006D2B42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0F5B" w14:textId="77777777" w:rsidR="00F017E8" w:rsidRDefault="00F017E8" w:rsidP="00CD1D34">
      <w:r>
        <w:separator/>
      </w:r>
    </w:p>
  </w:footnote>
  <w:footnote w:type="continuationSeparator" w:id="0">
    <w:p w14:paraId="0CD2170F" w14:textId="77777777" w:rsidR="00F017E8" w:rsidRDefault="00F017E8" w:rsidP="00CD1D34">
      <w:r>
        <w:continuationSeparator/>
      </w:r>
    </w:p>
  </w:footnote>
  <w:footnote w:id="1">
    <w:p w14:paraId="08D5F449" w14:textId="77777777" w:rsidR="00CD1D34" w:rsidRPr="00EC1756" w:rsidRDefault="00CD1D34" w:rsidP="00CD1D34">
      <w:pPr>
        <w:pStyle w:val="FootnoteText"/>
        <w:ind w:left="180" w:hanging="180"/>
        <w:rPr>
          <w:i w:val="0"/>
          <w:sz w:val="14"/>
          <w:szCs w:val="14"/>
        </w:rPr>
      </w:pPr>
      <w:r w:rsidRPr="00EC1756">
        <w:rPr>
          <w:rStyle w:val="FootnoteReference"/>
          <w:i w:val="0"/>
          <w:sz w:val="14"/>
          <w:szCs w:val="14"/>
        </w:rPr>
        <w:footnoteRef/>
      </w:r>
      <w:r w:rsidRPr="00EC1756">
        <w:rPr>
          <w:i w:val="0"/>
          <w:sz w:val="14"/>
          <w:szCs w:val="14"/>
        </w:rPr>
        <w:t xml:space="preserve"> </w:t>
      </w:r>
      <w:r w:rsidRPr="00EC1756">
        <w:rPr>
          <w:i w:val="0"/>
          <w:sz w:val="14"/>
          <w:szCs w:val="14"/>
        </w:rPr>
        <w:tab/>
        <w:t>Less than 20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on exterior surfaces; 2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in any one interior room or space, or 10% of the total surface area on any interior or exterior type of component </w:t>
      </w:r>
      <w:bookmarkStart w:id="0" w:name="_GoBack"/>
      <w:bookmarkEnd w:id="0"/>
      <w:r w:rsidRPr="00EC1756">
        <w:rPr>
          <w:i w:val="0"/>
          <w:sz w:val="14"/>
          <w:szCs w:val="14"/>
        </w:rPr>
        <w:t xml:space="preserve">with a small surface area like window sills, baseboards or trim.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B23D" w14:textId="77777777" w:rsidR="00CD1D34" w:rsidRPr="00DF2524" w:rsidRDefault="00CD1D34" w:rsidP="00CD1D34">
    <w:pPr>
      <w:pStyle w:val="BodyText2"/>
      <w:jc w:val="right"/>
    </w:pPr>
    <w:r w:rsidRPr="00DF2524">
      <w:rPr>
        <w:rFonts w:ascii="Arial" w:hAnsi="Arial" w:cs="Arial"/>
        <w:sz w:val="40"/>
        <w:szCs w:val="40"/>
        <w:bdr w:val="single" w:sz="4" w:space="0" w:color="auto"/>
      </w:rPr>
      <w:t>C</w:t>
    </w:r>
    <w:r>
      <w:rPr>
        <w:rFonts w:ascii="Arial" w:hAnsi="Arial" w:cs="Arial"/>
        <w:sz w:val="40"/>
        <w:szCs w:val="40"/>
        <w:bdr w:val="single" w:sz="4" w:space="0" w:color="auto"/>
      </w:rPr>
      <w:t>7</w:t>
    </w:r>
  </w:p>
  <w:p w14:paraId="21629738" w14:textId="77777777" w:rsidR="00CD1D34" w:rsidRDefault="00CD1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34"/>
    <w:rsid w:val="001D51A4"/>
    <w:rsid w:val="0028613F"/>
    <w:rsid w:val="005563EE"/>
    <w:rsid w:val="00637E58"/>
    <w:rsid w:val="006D2B42"/>
    <w:rsid w:val="007763FC"/>
    <w:rsid w:val="007E01B4"/>
    <w:rsid w:val="00945C0B"/>
    <w:rsid w:val="00CD1D34"/>
    <w:rsid w:val="00E04F95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7C48"/>
  <w15:docId w15:val="{06C2A92F-ECB3-4609-A426-7112B2C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D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1D34"/>
    <w:pPr>
      <w:spacing w:after="120"/>
    </w:pPr>
    <w:rPr>
      <w:rFonts w:ascii="Arial" w:hAnsi="Arial"/>
      <w:i/>
      <w:iCs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D34"/>
    <w:rPr>
      <w:rFonts w:ascii="Arial" w:eastAsia="Times New Roman" w:hAnsi="Arial" w:cs="Times New Roman"/>
      <w:i/>
      <w:iCs/>
      <w:sz w:val="18"/>
      <w:szCs w:val="20"/>
    </w:rPr>
  </w:style>
  <w:style w:type="paragraph" w:styleId="BodyText">
    <w:name w:val="Body Text"/>
    <w:basedOn w:val="Normal"/>
    <w:link w:val="BodyTextChar"/>
    <w:rsid w:val="00CD1D34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1D34"/>
    <w:rPr>
      <w:rFonts w:ascii="Arial" w:eastAsia="Times New Roman" w:hAnsi="Arial" w:cs="Arial"/>
      <w:sz w:val="28"/>
      <w:szCs w:val="28"/>
    </w:rPr>
  </w:style>
  <w:style w:type="paragraph" w:styleId="BodyText2">
    <w:name w:val="Body Text 2"/>
    <w:basedOn w:val="Normal"/>
    <w:link w:val="BodyText2Char"/>
    <w:rsid w:val="00CD1D34"/>
    <w:pPr>
      <w:jc w:val="center"/>
    </w:pPr>
    <w:rPr>
      <w:b/>
      <w:sz w:val="34"/>
    </w:rPr>
  </w:style>
  <w:style w:type="character" w:customStyle="1" w:styleId="BodyText2Char">
    <w:name w:val="Body Text 2 Char"/>
    <w:basedOn w:val="DefaultParagraphFont"/>
    <w:link w:val="BodyText2"/>
    <w:rsid w:val="00CD1D34"/>
    <w:rPr>
      <w:rFonts w:ascii="Times New Roman" w:eastAsia="Times New Roman" w:hAnsi="Times New Roman" w:cs="Times New Roman"/>
      <w:b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B71F-9AF6-4B1C-82BC-BECDFBC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2019-09-27T19:34:00Z</dcterms:created>
  <dcterms:modified xsi:type="dcterms:W3CDTF">2019-10-21T19:13:00Z</dcterms:modified>
</cp:coreProperties>
</file>