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20A8A" w14:textId="77777777" w:rsidR="00CD1D34" w:rsidRPr="00DF2524" w:rsidRDefault="00CD1D34" w:rsidP="00CD1D34">
      <w:pPr>
        <w:pStyle w:val="BodyText"/>
        <w:jc w:val="center"/>
        <w:rPr>
          <w:b/>
        </w:rPr>
      </w:pPr>
      <w:r w:rsidRPr="00DF2524">
        <w:rPr>
          <w:b/>
        </w:rPr>
        <w:t>Summary of Major Lead-Based Paint Regulations</w:t>
      </w:r>
    </w:p>
    <w:p w14:paraId="192B385C" w14:textId="77777777" w:rsidR="00CD1D34" w:rsidRPr="00DF2524" w:rsidRDefault="00CD1D34" w:rsidP="00CD1D34">
      <w:pPr>
        <w:pStyle w:val="BodyTex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880"/>
        <w:gridCol w:w="3294"/>
      </w:tblGrid>
      <w:tr w:rsidR="00CD1D34" w:rsidRPr="00DF2524" w14:paraId="16B648D5" w14:textId="77777777" w:rsidTr="00802C4B">
        <w:trPr>
          <w:cantSplit/>
          <w:tblHeader/>
          <w:jc w:val="center"/>
        </w:trPr>
        <w:tc>
          <w:tcPr>
            <w:tcW w:w="360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solid" w:color="auto" w:fill="auto"/>
          </w:tcPr>
          <w:p w14:paraId="2A1DEE4D" w14:textId="77777777" w:rsidR="00CD1D34" w:rsidRPr="00DF2524" w:rsidRDefault="00CD1D34" w:rsidP="00802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&lt; $5000/unit</w:t>
            </w:r>
          </w:p>
        </w:tc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solid" w:color="auto" w:fill="auto"/>
          </w:tcPr>
          <w:p w14:paraId="594BC162" w14:textId="77777777" w:rsidR="00CD1D34" w:rsidRPr="00DF2524" w:rsidRDefault="00CD1D34" w:rsidP="00802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$5000 - $25,000/unit</w:t>
            </w:r>
          </w:p>
        </w:tc>
        <w:tc>
          <w:tcPr>
            <w:tcW w:w="329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000000"/>
            </w:tcBorders>
            <w:shd w:val="solid" w:color="auto" w:fill="auto"/>
          </w:tcPr>
          <w:p w14:paraId="4A46BC65" w14:textId="77777777" w:rsidR="00CD1D34" w:rsidRPr="00DF2524" w:rsidRDefault="00CD1D34" w:rsidP="00802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&gt; $25,000/unit</w:t>
            </w:r>
          </w:p>
        </w:tc>
      </w:tr>
      <w:tr w:rsidR="00CD1D34" w:rsidRPr="00DF2524" w14:paraId="31D79B35" w14:textId="77777777" w:rsidTr="00802C4B">
        <w:trPr>
          <w:cantSplit/>
          <w:trHeight w:val="1008"/>
          <w:jc w:val="center"/>
        </w:trPr>
        <w:tc>
          <w:tcPr>
            <w:tcW w:w="977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DA8F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Applicability</w:t>
            </w:r>
          </w:p>
          <w:p w14:paraId="3D118F38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CFR Part 35, Subpart J contains</w:t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lead-based paint requirements specifically for Federally funded rehabilitation work. These requirements apply to HUD programs that provide assistance for rehabilitation, including CPD-funded rehabilitation activities. </w:t>
            </w:r>
          </w:p>
          <w:p w14:paraId="65B02711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 xml:space="preserve">The lead-based paint requirements for rehabilitation work, as described in this part of the regulation, are the same regardless of the source of program funding, </w:t>
            </w:r>
            <w:r w:rsidRPr="00DF2524">
              <w:rPr>
                <w:rFonts w:ascii="Arial" w:hAnsi="Arial" w:cs="Arial"/>
                <w:i/>
                <w:sz w:val="18"/>
                <w:szCs w:val="18"/>
              </w:rPr>
              <w:t>but</w:t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they differ based on the level of funding to a property. </w:t>
            </w:r>
          </w:p>
        </w:tc>
      </w:tr>
      <w:tr w:rsidR="00CD1D34" w:rsidRPr="00DF2524" w14:paraId="2F84CC41" w14:textId="77777777" w:rsidTr="00802C4B">
        <w:trPr>
          <w:cantSplit/>
          <w:trHeight w:val="993"/>
          <w:jc w:val="center"/>
        </w:trPr>
        <w:tc>
          <w:tcPr>
            <w:tcW w:w="97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6A068A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Notification</w:t>
            </w:r>
          </w:p>
          <w:p w14:paraId="79899E24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 xml:space="preserve">Occupants, owner occupants, and purchasers of assisted properties must receive notification of the potential presence and hazards of lead-based paint. Notification is achieved through the distribution of the EPA/HUD/CPSC lead-based paint hazard information pamphlet.  Occupants must also receive written notice informing them of lead hazard evaluation or reduction activities. </w:t>
            </w:r>
          </w:p>
        </w:tc>
      </w:tr>
      <w:tr w:rsidR="00CD1D34" w:rsidRPr="00DF2524" w14:paraId="00B66C73" w14:textId="77777777" w:rsidTr="00802C4B">
        <w:trPr>
          <w:cantSplit/>
          <w:trHeight w:val="1176"/>
          <w:jc w:val="center"/>
        </w:trPr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9CB926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Paint Testing</w:t>
            </w:r>
          </w:p>
          <w:p w14:paraId="5B77B0FB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Painted surfaces that will be disturbed during rehabilitation must be tested for lead-based paint, unless a surface is assumed to contain lead-based paint.</w:t>
            </w:r>
          </w:p>
        </w:tc>
        <w:tc>
          <w:tcPr>
            <w:tcW w:w="6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86A5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Paint Testing</w:t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– Test surfaces that will be disturbed by the rehabilitation for lead-based paint. For surfaces assumed to contain lead-based paint, testing is not required. </w:t>
            </w:r>
          </w:p>
          <w:p w14:paraId="7CB32C46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Risk Assessment</w:t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– An assessment of a dwelling to check for the presence of lead-based paint hazards. It includes a visual assessment of dust, soil, and paint and a written report of the results.</w:t>
            </w:r>
          </w:p>
        </w:tc>
      </w:tr>
      <w:tr w:rsidR="00CD1D34" w:rsidRPr="00DF2524" w14:paraId="6FB2AFC1" w14:textId="77777777" w:rsidTr="00802C4B">
        <w:trPr>
          <w:cantSplit/>
          <w:trHeight w:val="1608"/>
          <w:jc w:val="center"/>
        </w:trPr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B245B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BA2F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 xml:space="preserve">Option </w:t>
            </w:r>
          </w:p>
          <w:p w14:paraId="6B197D81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The grantee may assume that lead-based paint and lead hazards are present, forego the paint testing and risk assessment, and conduct standard treatments.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B54C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 xml:space="preserve">Option </w:t>
            </w:r>
          </w:p>
          <w:p w14:paraId="6C681320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The grantee may assume that lead-based paint and lead hazards are present, forego paint testing and risk assessment, and abate all painted surfaces disturbed during rehabilitation that are presumed to have lead-based paint and all presumed hazards.</w:t>
            </w:r>
          </w:p>
        </w:tc>
      </w:tr>
      <w:tr w:rsidR="00CD1D34" w:rsidRPr="00DF2524" w14:paraId="1244FEF6" w14:textId="77777777" w:rsidTr="00802C4B">
        <w:trPr>
          <w:cantSplit/>
          <w:trHeight w:val="1785"/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6624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pacing w:val="-2"/>
                <w:sz w:val="18"/>
                <w:szCs w:val="18"/>
              </w:rPr>
              <w:t>Paint Repair</w:t>
            </w:r>
          </w:p>
          <w:p w14:paraId="5E1443A0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Repair surfaces that are disturbed by rehabilitation in a safe manner.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3514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pacing w:val="-2"/>
                <w:sz w:val="18"/>
                <w:szCs w:val="18"/>
              </w:rPr>
              <w:t>Lead Hazard Reduction</w:t>
            </w:r>
          </w:p>
          <w:p w14:paraId="40C825F2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Any lead-based paint hazards found during the risk assessment must be controlled using </w:t>
            </w:r>
            <w:r w:rsidRPr="00DF2524">
              <w:rPr>
                <w:rFonts w:ascii="Arial" w:hAnsi="Arial" w:cs="Arial"/>
                <w:i/>
                <w:spacing w:val="-2"/>
                <w:sz w:val="18"/>
                <w:szCs w:val="18"/>
              </w:rPr>
              <w:t>interim controls</w:t>
            </w: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 or abatement methods.</w:t>
            </w:r>
          </w:p>
          <w:p w14:paraId="59647B0C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i/>
                <w:spacing w:val="-2"/>
                <w:sz w:val="18"/>
                <w:szCs w:val="18"/>
              </w:rPr>
              <w:t>Standard treatments</w:t>
            </w: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 must be performed when no evaluation is conducted and the presence of lead-based paint hazards is assumed. 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55CB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pacing w:val="-2"/>
                <w:sz w:val="18"/>
                <w:szCs w:val="18"/>
              </w:rPr>
              <w:t>Abatement</w:t>
            </w:r>
          </w:p>
          <w:p w14:paraId="3FD5562A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Any lead-based paint hazards found in units and common areas must be controlled using </w:t>
            </w:r>
            <w:r w:rsidRPr="00DF2524">
              <w:rPr>
                <w:rFonts w:ascii="Arial" w:hAnsi="Arial" w:cs="Arial"/>
                <w:i/>
                <w:spacing w:val="-2"/>
                <w:sz w:val="18"/>
                <w:szCs w:val="18"/>
              </w:rPr>
              <w:t>abatement</w:t>
            </w: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 methods.</w:t>
            </w:r>
          </w:p>
          <w:p w14:paraId="76576830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>Lead-based paint hazards on exterior surfaces that are not disturbed during rehabilitation must be controlled using either interim controls or abatement.</w:t>
            </w:r>
          </w:p>
        </w:tc>
      </w:tr>
      <w:tr w:rsidR="00CD1D34" w:rsidRPr="00DF2524" w14:paraId="4D714E21" w14:textId="77777777" w:rsidTr="00802C4B">
        <w:trPr>
          <w:cantSplit/>
          <w:trHeight w:val="879"/>
          <w:jc w:val="center"/>
        </w:trPr>
        <w:tc>
          <w:tcPr>
            <w:tcW w:w="9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5F137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Safe Work Practices</w:t>
            </w:r>
          </w:p>
          <w:p w14:paraId="2533C09F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Rehabilitation work that disturbs surfaces known or assumed to contain lead-based paint must be performed using safe work practices. Safe work practices are not required for work that disturbs surfaces below de minimis</w:t>
            </w:r>
            <w:r w:rsidRPr="00DF2524">
              <w:rPr>
                <w:rStyle w:val="FootnoteReference"/>
                <w:rFonts w:ascii="Arial" w:hAnsi="Arial" w:cs="Arial"/>
                <w:i/>
                <w:sz w:val="18"/>
                <w:szCs w:val="18"/>
              </w:rPr>
              <w:footnoteReference w:id="1"/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levels.  There are additional safety precautions for occupant protection, worksite preparation, and cleanup activities.</w:t>
            </w:r>
          </w:p>
        </w:tc>
      </w:tr>
      <w:tr w:rsidR="00CD1D34" w:rsidRPr="00DF2524" w14:paraId="1BBF1A73" w14:textId="77777777" w:rsidTr="00802C4B">
        <w:trPr>
          <w:cantSplit/>
          <w:trHeight w:val="1020"/>
          <w:jc w:val="center"/>
        </w:trPr>
        <w:tc>
          <w:tcPr>
            <w:tcW w:w="9774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14:paraId="0ECF34F0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Clearance</w:t>
            </w:r>
          </w:p>
          <w:p w14:paraId="3E2E92B6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Once hazard reduction work is completed, a clearance examination must be performed by a certified professional to ensure that no lead-based paint hazards remain.  Clearance involves a visual assessment and dust testing after cleanup is complete.  A clearance report must be prepared. If abatement is conducted, an abatement report is required in place of a clearance report.</w:t>
            </w:r>
          </w:p>
        </w:tc>
      </w:tr>
      <w:tr w:rsidR="00CD1D34" w:rsidRPr="00DF2524" w14:paraId="1FEA9B6A" w14:textId="77777777" w:rsidTr="00802C4B">
        <w:trPr>
          <w:cantSplit/>
          <w:trHeight w:val="495"/>
          <w:jc w:val="center"/>
        </w:trPr>
        <w:tc>
          <w:tcPr>
            <w:tcW w:w="3600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0D666873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Clearance is required only for the worksite</w:t>
            </w:r>
          </w:p>
        </w:tc>
        <w:tc>
          <w:tcPr>
            <w:tcW w:w="6174" w:type="dxa"/>
            <w:gridSpan w:val="2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1BFDF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 xml:space="preserve">Clearance is required for the unit, common areas, and exterior areas where rehabilitation took place. </w:t>
            </w:r>
          </w:p>
        </w:tc>
      </w:tr>
      <w:tr w:rsidR="00CD1D34" w:rsidRPr="00DF2524" w14:paraId="3616D133" w14:textId="77777777" w:rsidTr="00802C4B">
        <w:trPr>
          <w:cantSplit/>
          <w:trHeight w:val="705"/>
          <w:jc w:val="center"/>
        </w:trPr>
        <w:tc>
          <w:tcPr>
            <w:tcW w:w="9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FD57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Environmental Intervention Blood Lead Level Requirements</w:t>
            </w:r>
          </w:p>
          <w:p w14:paraId="1EFB9F31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 xml:space="preserve">The regulation does </w:t>
            </w:r>
            <w:r w:rsidRPr="00DF2524">
              <w:rPr>
                <w:rFonts w:ascii="Arial" w:hAnsi="Arial" w:cs="Arial"/>
                <w:i/>
                <w:sz w:val="18"/>
                <w:szCs w:val="18"/>
              </w:rPr>
              <w:t>not</w:t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require action by grantees when a child with an environmental intervention blood lead level is found to be living in a unit that has received rehabilitation assistance. </w:t>
            </w:r>
          </w:p>
        </w:tc>
      </w:tr>
    </w:tbl>
    <w:p w14:paraId="2464666C" w14:textId="77777777" w:rsidR="004659DA" w:rsidRDefault="00C50A42"/>
    <w:sectPr w:rsidR="004659DA" w:rsidSect="00E04F95">
      <w:headerReference w:type="default" r:id="rId7"/>
      <w:footerReference w:type="default" r:id="rId8"/>
      <w:pgSz w:w="12240" w:h="15840"/>
      <w:pgMar w:top="1440" w:right="1440" w:bottom="1440" w:left="1440" w:header="720" w:footer="9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32333" w14:textId="77777777" w:rsidR="00F017E8" w:rsidRDefault="00F017E8" w:rsidP="00CD1D34">
      <w:r>
        <w:separator/>
      </w:r>
    </w:p>
  </w:endnote>
  <w:endnote w:type="continuationSeparator" w:id="0">
    <w:p w14:paraId="36446945" w14:textId="77777777" w:rsidR="00F017E8" w:rsidRDefault="00F017E8" w:rsidP="00CD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040B" w14:textId="4086E2D5" w:rsidR="00E04F95" w:rsidRPr="00E04F95" w:rsidRDefault="00945C0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09/01/20</w:t>
    </w:r>
    <w:r w:rsidR="00C50A42">
      <w:rPr>
        <w:rFonts w:ascii="Arial" w:hAnsi="Arial" w:cs="Arial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A0F5B" w14:textId="77777777" w:rsidR="00F017E8" w:rsidRDefault="00F017E8" w:rsidP="00CD1D34">
      <w:r>
        <w:separator/>
      </w:r>
    </w:p>
  </w:footnote>
  <w:footnote w:type="continuationSeparator" w:id="0">
    <w:p w14:paraId="0CD2170F" w14:textId="77777777" w:rsidR="00F017E8" w:rsidRDefault="00F017E8" w:rsidP="00CD1D34">
      <w:r>
        <w:continuationSeparator/>
      </w:r>
    </w:p>
  </w:footnote>
  <w:footnote w:id="1">
    <w:p w14:paraId="08D5F449" w14:textId="77777777" w:rsidR="00CD1D34" w:rsidRPr="00EC1756" w:rsidRDefault="00CD1D34" w:rsidP="00CD1D34">
      <w:pPr>
        <w:pStyle w:val="FootnoteText"/>
        <w:ind w:left="180" w:hanging="180"/>
        <w:rPr>
          <w:i w:val="0"/>
          <w:sz w:val="14"/>
          <w:szCs w:val="14"/>
        </w:rPr>
      </w:pPr>
      <w:r w:rsidRPr="00EC1756">
        <w:rPr>
          <w:rStyle w:val="FootnoteReference"/>
          <w:i w:val="0"/>
          <w:sz w:val="14"/>
          <w:szCs w:val="14"/>
        </w:rPr>
        <w:footnoteRef/>
      </w:r>
      <w:r w:rsidRPr="00EC1756">
        <w:rPr>
          <w:i w:val="0"/>
          <w:sz w:val="14"/>
          <w:szCs w:val="14"/>
        </w:rPr>
        <w:t xml:space="preserve"> </w:t>
      </w:r>
      <w:r w:rsidRPr="00EC1756">
        <w:rPr>
          <w:i w:val="0"/>
          <w:sz w:val="14"/>
          <w:szCs w:val="14"/>
        </w:rPr>
        <w:tab/>
        <w:t>Less than 20 ft</w:t>
      </w:r>
      <w:r w:rsidRPr="00EC1756">
        <w:rPr>
          <w:i w:val="0"/>
          <w:sz w:val="14"/>
          <w:szCs w:val="14"/>
          <w:vertAlign w:val="superscript"/>
        </w:rPr>
        <w:t>2</w:t>
      </w:r>
      <w:r w:rsidRPr="00EC1756">
        <w:rPr>
          <w:i w:val="0"/>
          <w:sz w:val="14"/>
          <w:szCs w:val="14"/>
        </w:rPr>
        <w:t xml:space="preserve"> on exterior surfaces; 2 ft</w:t>
      </w:r>
      <w:r w:rsidRPr="00EC1756">
        <w:rPr>
          <w:i w:val="0"/>
          <w:sz w:val="14"/>
          <w:szCs w:val="14"/>
          <w:vertAlign w:val="superscript"/>
        </w:rPr>
        <w:t>2</w:t>
      </w:r>
      <w:r w:rsidRPr="00EC1756">
        <w:rPr>
          <w:i w:val="0"/>
          <w:sz w:val="14"/>
          <w:szCs w:val="14"/>
        </w:rPr>
        <w:t xml:space="preserve"> in any one interior room or space, or 10% of the total surface area on any interior or exterior type of component with a small surface area like window sills, baseboards or trim.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B23D" w14:textId="77777777" w:rsidR="00CD1D34" w:rsidRPr="00DF2524" w:rsidRDefault="00CD1D34" w:rsidP="00CD1D34">
    <w:pPr>
      <w:pStyle w:val="BodyText2"/>
      <w:jc w:val="right"/>
    </w:pPr>
    <w:r w:rsidRPr="00DF2524">
      <w:rPr>
        <w:rFonts w:ascii="Arial" w:hAnsi="Arial" w:cs="Arial"/>
        <w:sz w:val="40"/>
        <w:szCs w:val="40"/>
        <w:bdr w:val="single" w:sz="4" w:space="0" w:color="auto"/>
      </w:rPr>
      <w:t>C</w:t>
    </w:r>
    <w:r>
      <w:rPr>
        <w:rFonts w:ascii="Arial" w:hAnsi="Arial" w:cs="Arial"/>
        <w:sz w:val="40"/>
        <w:szCs w:val="40"/>
        <w:bdr w:val="single" w:sz="4" w:space="0" w:color="auto"/>
      </w:rPr>
      <w:t>7</w:t>
    </w:r>
  </w:p>
  <w:p w14:paraId="21629738" w14:textId="77777777" w:rsidR="00CD1D34" w:rsidRDefault="00CD1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34"/>
    <w:rsid w:val="001D51A4"/>
    <w:rsid w:val="0028613F"/>
    <w:rsid w:val="005563EE"/>
    <w:rsid w:val="00637E58"/>
    <w:rsid w:val="006D2B42"/>
    <w:rsid w:val="007763FC"/>
    <w:rsid w:val="007E01B4"/>
    <w:rsid w:val="00945C0B"/>
    <w:rsid w:val="00AB5303"/>
    <w:rsid w:val="00C50A42"/>
    <w:rsid w:val="00CD1D34"/>
    <w:rsid w:val="00E04F95"/>
    <w:rsid w:val="00F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7C48"/>
  <w15:docId w15:val="{06C2A92F-ECB3-4609-A426-7112B2C3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D1D3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D1D34"/>
    <w:pPr>
      <w:spacing w:after="120"/>
    </w:pPr>
    <w:rPr>
      <w:rFonts w:ascii="Arial" w:hAnsi="Arial"/>
      <w:i/>
      <w:iCs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1D34"/>
    <w:rPr>
      <w:rFonts w:ascii="Arial" w:eastAsia="Times New Roman" w:hAnsi="Arial" w:cs="Times New Roman"/>
      <w:i/>
      <w:iCs/>
      <w:sz w:val="18"/>
      <w:szCs w:val="20"/>
    </w:rPr>
  </w:style>
  <w:style w:type="paragraph" w:styleId="BodyText">
    <w:name w:val="Body Text"/>
    <w:basedOn w:val="Normal"/>
    <w:link w:val="BodyTextChar"/>
    <w:rsid w:val="00CD1D34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D1D34"/>
    <w:rPr>
      <w:rFonts w:ascii="Arial" w:eastAsia="Times New Roman" w:hAnsi="Arial" w:cs="Arial"/>
      <w:sz w:val="28"/>
      <w:szCs w:val="28"/>
    </w:rPr>
  </w:style>
  <w:style w:type="paragraph" w:styleId="BodyText2">
    <w:name w:val="Body Text 2"/>
    <w:basedOn w:val="Normal"/>
    <w:link w:val="BodyText2Char"/>
    <w:rsid w:val="00CD1D34"/>
    <w:pPr>
      <w:jc w:val="center"/>
    </w:pPr>
    <w:rPr>
      <w:b/>
      <w:sz w:val="34"/>
    </w:rPr>
  </w:style>
  <w:style w:type="character" w:customStyle="1" w:styleId="BodyText2Char">
    <w:name w:val="Body Text 2 Char"/>
    <w:basedOn w:val="DefaultParagraphFont"/>
    <w:link w:val="BodyText2"/>
    <w:rsid w:val="00CD1D34"/>
    <w:rPr>
      <w:rFonts w:ascii="Times New Roman" w:eastAsia="Times New Roman" w:hAnsi="Times New Roman" w:cs="Times New Roman"/>
      <w:b/>
      <w:sz w:val="3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B71F-9AF6-4B1C-82BC-BECDFBCF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2020-08-04T15:36:00Z</dcterms:created>
  <dcterms:modified xsi:type="dcterms:W3CDTF">2020-08-18T15:09:00Z</dcterms:modified>
</cp:coreProperties>
</file>