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FFCCD" w14:textId="77777777" w:rsidR="00E804D0" w:rsidRPr="00B56F73" w:rsidRDefault="0000548C" w:rsidP="00F81FBC">
      <w:pPr>
        <w:pStyle w:val="Heading9"/>
        <w:pBdr>
          <w:bottom w:val="none" w:sz="0" w:space="0" w:color="auto"/>
        </w:pBdr>
        <w:rPr>
          <w:rFonts w:ascii="Arial" w:hAnsi="Arial" w:cs="Arial"/>
        </w:rPr>
      </w:pPr>
      <w:bookmarkStart w:id="0" w:name="_Toc504554611"/>
      <w:bookmarkStart w:id="1" w:name="_Toc7269164"/>
      <w:bookmarkStart w:id="2" w:name="_Toc15374493"/>
      <w:bookmarkStart w:id="3" w:name="_Toc20727211"/>
      <w:bookmarkStart w:id="4" w:name="_Toc38100254"/>
      <w:r w:rsidRPr="00B56F73">
        <w:rPr>
          <w:rFonts w:ascii="Arial" w:hAnsi="Arial" w:cs="Arial"/>
        </w:rPr>
        <w:t>CHAPTER 1</w:t>
      </w:r>
    </w:p>
    <w:p w14:paraId="73022C52" w14:textId="1AE8F52D" w:rsidR="0000548C" w:rsidRPr="003404CE" w:rsidRDefault="00A450A6" w:rsidP="00F81FBC">
      <w:pPr>
        <w:jc w:val="center"/>
        <w:rPr>
          <w:rFonts w:ascii="Arial" w:hAnsi="Arial" w:cs="Arial"/>
          <w:b/>
          <w:sz w:val="52"/>
          <w:szCs w:val="52"/>
        </w:rPr>
      </w:pPr>
      <w:r>
        <w:rPr>
          <w:rFonts w:ascii="Arial" w:hAnsi="Arial" w:cs="Arial"/>
          <w:b/>
          <w:sz w:val="52"/>
          <w:szCs w:val="52"/>
        </w:rPr>
        <w:t>ADMINISTRATION</w:t>
      </w:r>
      <w:r w:rsidR="00F81FBC">
        <w:rPr>
          <w:rFonts w:ascii="Arial" w:hAnsi="Arial" w:cs="Arial"/>
          <w:b/>
          <w:sz w:val="52"/>
          <w:szCs w:val="52"/>
        </w:rPr>
        <w:t xml:space="preserve"> </w:t>
      </w:r>
      <w:r>
        <w:rPr>
          <w:rFonts w:ascii="Arial" w:hAnsi="Arial" w:cs="Arial"/>
          <w:b/>
          <w:sz w:val="52"/>
          <w:szCs w:val="52"/>
        </w:rPr>
        <w:t>AND</w:t>
      </w:r>
      <w:r w:rsidR="002F008D" w:rsidRPr="003404CE">
        <w:rPr>
          <w:rFonts w:ascii="Arial" w:hAnsi="Arial" w:cs="Arial"/>
          <w:b/>
          <w:sz w:val="52"/>
          <w:szCs w:val="52"/>
        </w:rPr>
        <w:t xml:space="preserve"> </w:t>
      </w:r>
      <w:r>
        <w:rPr>
          <w:rFonts w:ascii="Arial" w:hAnsi="Arial" w:cs="Arial"/>
          <w:b/>
          <w:sz w:val="52"/>
          <w:szCs w:val="52"/>
        </w:rPr>
        <w:t>REPORTING</w:t>
      </w:r>
    </w:p>
    <w:p w14:paraId="356B3C8D" w14:textId="77777777" w:rsidR="0087359B" w:rsidRPr="00B56F73" w:rsidRDefault="0087359B" w:rsidP="005513D7">
      <w:pPr>
        <w:jc w:val="center"/>
        <w:rPr>
          <w:rFonts w:ascii="Arial" w:hAnsi="Arial" w:cs="Arial"/>
          <w:b/>
        </w:rPr>
      </w:pPr>
    </w:p>
    <w:p w14:paraId="6DFEC350" w14:textId="77777777" w:rsidR="0000548C" w:rsidRPr="00B56F73" w:rsidRDefault="00420A93" w:rsidP="0013182E">
      <w:pPr>
        <w:jc w:val="center"/>
        <w:rPr>
          <w:rFonts w:ascii="Arial" w:hAnsi="Arial" w:cs="Arial"/>
          <w:sz w:val="28"/>
          <w:szCs w:val="28"/>
        </w:rPr>
      </w:pPr>
      <w:r w:rsidRPr="00B56F73">
        <w:rPr>
          <w:rFonts w:ascii="Arial" w:hAnsi="Arial" w:cs="Arial"/>
          <w:sz w:val="28"/>
          <w:szCs w:val="28"/>
        </w:rPr>
        <w:t>TABLE OF CONTENTS</w:t>
      </w:r>
    </w:p>
    <w:p w14:paraId="6197C8F3" w14:textId="77777777" w:rsidR="00C86427" w:rsidRDefault="00C86427" w:rsidP="00420A93">
      <w:pPr>
        <w:pStyle w:val="Header"/>
        <w:tabs>
          <w:tab w:val="clear" w:pos="4320"/>
          <w:tab w:val="clear" w:pos="8640"/>
          <w:tab w:val="left" w:pos="1620"/>
          <w:tab w:val="right" w:pos="9360"/>
        </w:tabs>
        <w:rPr>
          <w:rFonts w:ascii="Arial" w:hAnsi="Arial" w:cs="Arial"/>
        </w:rPr>
      </w:pPr>
    </w:p>
    <w:p w14:paraId="1704F9E8" w14:textId="77777777" w:rsidR="00420A93" w:rsidRPr="00842FB6" w:rsidRDefault="000B7512" w:rsidP="00842FB6">
      <w:pPr>
        <w:pStyle w:val="Header"/>
        <w:tabs>
          <w:tab w:val="clear" w:pos="4320"/>
          <w:tab w:val="clear" w:pos="8640"/>
          <w:tab w:val="left" w:pos="1620"/>
          <w:tab w:val="right" w:pos="9360"/>
        </w:tabs>
        <w:spacing w:line="276" w:lineRule="auto"/>
        <w:jc w:val="right"/>
        <w:rPr>
          <w:rFonts w:ascii="Arial" w:hAnsi="Arial" w:cs="Arial"/>
          <w:sz w:val="22"/>
          <w:szCs w:val="22"/>
        </w:rPr>
      </w:pPr>
      <w:r w:rsidRPr="00842FB6">
        <w:rPr>
          <w:rFonts w:ascii="Arial" w:hAnsi="Arial" w:cs="Arial"/>
          <w:sz w:val="22"/>
          <w:szCs w:val="22"/>
        </w:rPr>
        <w:t>Page</w:t>
      </w:r>
    </w:p>
    <w:p w14:paraId="34F3F4C6" w14:textId="77777777" w:rsidR="00420A93" w:rsidRPr="00484CEE" w:rsidRDefault="00420A93" w:rsidP="00842FB6">
      <w:pPr>
        <w:pStyle w:val="Header"/>
        <w:tabs>
          <w:tab w:val="clear" w:pos="4320"/>
          <w:tab w:val="clear" w:pos="8640"/>
        </w:tabs>
        <w:spacing w:line="276" w:lineRule="auto"/>
        <w:rPr>
          <w:rFonts w:ascii="Arial" w:hAnsi="Arial" w:cs="Arial"/>
          <w:i/>
          <w:iCs/>
          <w:sz w:val="22"/>
          <w:szCs w:val="22"/>
        </w:rPr>
      </w:pPr>
    </w:p>
    <w:p w14:paraId="1B579CD6" w14:textId="4916829D" w:rsidR="002217D4" w:rsidRPr="00682009" w:rsidRDefault="00E0533B" w:rsidP="002217D4">
      <w:pPr>
        <w:pStyle w:val="TOC1"/>
        <w:rPr>
          <w:rFonts w:eastAsiaTheme="minorEastAsia" w:cs="Arial"/>
          <w:noProof/>
          <w:sz w:val="22"/>
          <w:szCs w:val="22"/>
        </w:rPr>
      </w:pPr>
      <w:r w:rsidRPr="00682009">
        <w:rPr>
          <w:rFonts w:cs="Arial"/>
          <w:i/>
          <w:sz w:val="22"/>
          <w:szCs w:val="22"/>
        </w:rPr>
        <w:fldChar w:fldCharType="begin"/>
      </w:r>
      <w:r w:rsidRPr="00682009">
        <w:rPr>
          <w:rFonts w:cs="Arial"/>
          <w:i/>
          <w:sz w:val="22"/>
          <w:szCs w:val="22"/>
        </w:rPr>
        <w:instrText xml:space="preserve"> TOC \o "1-2" \h \z \u </w:instrText>
      </w:r>
      <w:r w:rsidRPr="00682009">
        <w:rPr>
          <w:rFonts w:cs="Arial"/>
          <w:i/>
          <w:sz w:val="22"/>
          <w:szCs w:val="22"/>
        </w:rPr>
        <w:fldChar w:fldCharType="separate"/>
      </w:r>
      <w:hyperlink w:anchor="_Toc97737595" w:history="1">
        <w:r w:rsidR="002217D4" w:rsidRPr="00682009">
          <w:rPr>
            <w:rStyle w:val="Hyperlink"/>
            <w:rFonts w:cs="Arial"/>
            <w:noProof/>
            <w:sz w:val="22"/>
            <w:szCs w:val="22"/>
          </w:rPr>
          <w:t>1.1 Project Startup</w:t>
        </w:r>
        <w:r w:rsidR="002217D4" w:rsidRPr="00682009">
          <w:rPr>
            <w:rFonts w:cs="Arial"/>
            <w:noProof/>
            <w:webHidden/>
            <w:sz w:val="22"/>
            <w:szCs w:val="22"/>
          </w:rPr>
          <w:tab/>
        </w:r>
        <w:r w:rsidR="002217D4" w:rsidRPr="00682009">
          <w:rPr>
            <w:rFonts w:cs="Arial"/>
            <w:noProof/>
            <w:webHidden/>
            <w:sz w:val="22"/>
            <w:szCs w:val="22"/>
          </w:rPr>
          <w:fldChar w:fldCharType="begin"/>
        </w:r>
        <w:r w:rsidR="002217D4" w:rsidRPr="00682009">
          <w:rPr>
            <w:rFonts w:cs="Arial"/>
            <w:noProof/>
            <w:webHidden/>
            <w:sz w:val="22"/>
            <w:szCs w:val="22"/>
          </w:rPr>
          <w:instrText xml:space="preserve"> PAGEREF _Toc97737595 \h </w:instrText>
        </w:r>
        <w:r w:rsidR="002217D4" w:rsidRPr="00682009">
          <w:rPr>
            <w:rFonts w:cs="Arial"/>
            <w:noProof/>
            <w:webHidden/>
            <w:sz w:val="22"/>
            <w:szCs w:val="22"/>
          </w:rPr>
        </w:r>
        <w:r w:rsidR="002217D4" w:rsidRPr="00682009">
          <w:rPr>
            <w:rFonts w:cs="Arial"/>
            <w:noProof/>
            <w:webHidden/>
            <w:sz w:val="22"/>
            <w:szCs w:val="22"/>
          </w:rPr>
          <w:fldChar w:fldCharType="separate"/>
        </w:r>
        <w:r w:rsidR="002217D4" w:rsidRPr="00682009">
          <w:rPr>
            <w:rFonts w:cs="Arial"/>
            <w:noProof/>
            <w:webHidden/>
            <w:sz w:val="22"/>
            <w:szCs w:val="22"/>
          </w:rPr>
          <w:t>2</w:t>
        </w:r>
        <w:r w:rsidR="002217D4" w:rsidRPr="00682009">
          <w:rPr>
            <w:rFonts w:cs="Arial"/>
            <w:noProof/>
            <w:webHidden/>
            <w:sz w:val="22"/>
            <w:szCs w:val="22"/>
          </w:rPr>
          <w:fldChar w:fldCharType="end"/>
        </w:r>
      </w:hyperlink>
    </w:p>
    <w:p w14:paraId="0B287AD0" w14:textId="5C0A980C" w:rsidR="002217D4" w:rsidRPr="00682009" w:rsidRDefault="00682009" w:rsidP="002217D4">
      <w:pPr>
        <w:pStyle w:val="TOC2"/>
        <w:rPr>
          <w:rFonts w:ascii="Arial" w:eastAsiaTheme="minorEastAsia" w:hAnsi="Arial" w:cs="Arial"/>
          <w:b w:val="0"/>
          <w:noProof/>
        </w:rPr>
      </w:pPr>
      <w:hyperlink w:anchor="_Toc97737596" w:history="1">
        <w:r w:rsidR="002217D4" w:rsidRPr="00682009">
          <w:rPr>
            <w:rStyle w:val="Hyperlink"/>
            <w:rFonts w:ascii="Arial" w:hAnsi="Arial" w:cs="Arial"/>
            <w:b w:val="0"/>
            <w:noProof/>
          </w:rPr>
          <w:t>1.1.1. Pre-Agreement</w:t>
        </w:r>
        <w:r w:rsidR="002217D4" w:rsidRPr="00682009">
          <w:rPr>
            <w:rFonts w:ascii="Arial" w:hAnsi="Arial" w:cs="Arial"/>
            <w:b w:val="0"/>
            <w:noProof/>
            <w:webHidden/>
          </w:rPr>
          <w:tab/>
        </w:r>
        <w:r w:rsidR="002217D4" w:rsidRPr="00682009">
          <w:rPr>
            <w:rFonts w:ascii="Arial" w:hAnsi="Arial" w:cs="Arial"/>
            <w:b w:val="0"/>
            <w:noProof/>
            <w:webHidden/>
          </w:rPr>
          <w:fldChar w:fldCharType="begin"/>
        </w:r>
        <w:r w:rsidR="002217D4" w:rsidRPr="00682009">
          <w:rPr>
            <w:rFonts w:ascii="Arial" w:hAnsi="Arial" w:cs="Arial"/>
            <w:b w:val="0"/>
            <w:noProof/>
            <w:webHidden/>
          </w:rPr>
          <w:instrText xml:space="preserve"> PAGEREF _Toc97737596 \h </w:instrText>
        </w:r>
        <w:r w:rsidR="002217D4" w:rsidRPr="00682009">
          <w:rPr>
            <w:rFonts w:ascii="Arial" w:hAnsi="Arial" w:cs="Arial"/>
            <w:b w:val="0"/>
            <w:noProof/>
            <w:webHidden/>
          </w:rPr>
        </w:r>
        <w:r w:rsidR="002217D4" w:rsidRPr="00682009">
          <w:rPr>
            <w:rFonts w:ascii="Arial" w:hAnsi="Arial" w:cs="Arial"/>
            <w:b w:val="0"/>
            <w:noProof/>
            <w:webHidden/>
          </w:rPr>
          <w:fldChar w:fldCharType="separate"/>
        </w:r>
        <w:r w:rsidR="002217D4" w:rsidRPr="00682009">
          <w:rPr>
            <w:rFonts w:ascii="Arial" w:hAnsi="Arial" w:cs="Arial"/>
            <w:b w:val="0"/>
            <w:noProof/>
            <w:webHidden/>
          </w:rPr>
          <w:t>2</w:t>
        </w:r>
        <w:r w:rsidR="002217D4" w:rsidRPr="00682009">
          <w:rPr>
            <w:rFonts w:ascii="Arial" w:hAnsi="Arial" w:cs="Arial"/>
            <w:b w:val="0"/>
            <w:noProof/>
            <w:webHidden/>
          </w:rPr>
          <w:fldChar w:fldCharType="end"/>
        </w:r>
      </w:hyperlink>
    </w:p>
    <w:p w14:paraId="2AFC3277" w14:textId="4D8F990F" w:rsidR="002217D4" w:rsidRPr="00682009" w:rsidRDefault="00682009" w:rsidP="002217D4">
      <w:pPr>
        <w:pStyle w:val="TOC2"/>
        <w:rPr>
          <w:rFonts w:ascii="Arial" w:eastAsiaTheme="minorEastAsia" w:hAnsi="Arial" w:cs="Arial"/>
          <w:b w:val="0"/>
          <w:noProof/>
        </w:rPr>
      </w:pPr>
      <w:hyperlink w:anchor="_Toc97737597" w:history="1">
        <w:r w:rsidR="002217D4" w:rsidRPr="00682009">
          <w:rPr>
            <w:rStyle w:val="Hyperlink"/>
            <w:rFonts w:ascii="Arial" w:hAnsi="Arial" w:cs="Arial"/>
            <w:b w:val="0"/>
            <w:noProof/>
          </w:rPr>
          <w:t>1.1.2 Grant Agreement Execution</w:t>
        </w:r>
        <w:r w:rsidR="002217D4" w:rsidRPr="00682009">
          <w:rPr>
            <w:rFonts w:ascii="Arial" w:hAnsi="Arial" w:cs="Arial"/>
            <w:b w:val="0"/>
            <w:noProof/>
            <w:webHidden/>
          </w:rPr>
          <w:tab/>
        </w:r>
        <w:r w:rsidR="002217D4" w:rsidRPr="00682009">
          <w:rPr>
            <w:rFonts w:ascii="Arial" w:hAnsi="Arial" w:cs="Arial"/>
            <w:b w:val="0"/>
            <w:noProof/>
            <w:webHidden/>
          </w:rPr>
          <w:fldChar w:fldCharType="begin"/>
        </w:r>
        <w:r w:rsidR="002217D4" w:rsidRPr="00682009">
          <w:rPr>
            <w:rFonts w:ascii="Arial" w:hAnsi="Arial" w:cs="Arial"/>
            <w:b w:val="0"/>
            <w:noProof/>
            <w:webHidden/>
          </w:rPr>
          <w:instrText xml:space="preserve"> PAGEREF _Toc97737597 \h </w:instrText>
        </w:r>
        <w:r w:rsidR="002217D4" w:rsidRPr="00682009">
          <w:rPr>
            <w:rFonts w:ascii="Arial" w:hAnsi="Arial" w:cs="Arial"/>
            <w:b w:val="0"/>
            <w:noProof/>
            <w:webHidden/>
          </w:rPr>
        </w:r>
        <w:r w:rsidR="002217D4" w:rsidRPr="00682009">
          <w:rPr>
            <w:rFonts w:ascii="Arial" w:hAnsi="Arial" w:cs="Arial"/>
            <w:b w:val="0"/>
            <w:noProof/>
            <w:webHidden/>
          </w:rPr>
          <w:fldChar w:fldCharType="separate"/>
        </w:r>
        <w:r w:rsidR="002217D4" w:rsidRPr="00682009">
          <w:rPr>
            <w:rFonts w:ascii="Arial" w:hAnsi="Arial" w:cs="Arial"/>
            <w:b w:val="0"/>
            <w:noProof/>
            <w:webHidden/>
          </w:rPr>
          <w:t>3</w:t>
        </w:r>
        <w:r w:rsidR="002217D4" w:rsidRPr="00682009">
          <w:rPr>
            <w:rFonts w:ascii="Arial" w:hAnsi="Arial" w:cs="Arial"/>
            <w:b w:val="0"/>
            <w:noProof/>
            <w:webHidden/>
          </w:rPr>
          <w:fldChar w:fldCharType="end"/>
        </w:r>
      </w:hyperlink>
    </w:p>
    <w:p w14:paraId="2828BBD9" w14:textId="3ACD4E2B" w:rsidR="002217D4" w:rsidRPr="00682009" w:rsidRDefault="00682009" w:rsidP="002217D4">
      <w:pPr>
        <w:pStyle w:val="TOC2"/>
        <w:rPr>
          <w:rFonts w:ascii="Arial" w:eastAsiaTheme="minorEastAsia" w:hAnsi="Arial" w:cs="Arial"/>
          <w:b w:val="0"/>
          <w:noProof/>
        </w:rPr>
      </w:pPr>
      <w:hyperlink w:anchor="_Toc97737598" w:history="1">
        <w:r w:rsidR="002217D4" w:rsidRPr="00682009">
          <w:rPr>
            <w:rStyle w:val="Hyperlink"/>
            <w:rFonts w:ascii="Arial" w:hAnsi="Arial" w:cs="Arial"/>
            <w:b w:val="0"/>
            <w:noProof/>
          </w:rPr>
          <w:t>1.1.3 Establish a Local Administrative Structure</w:t>
        </w:r>
        <w:r w:rsidR="002217D4" w:rsidRPr="00682009">
          <w:rPr>
            <w:rFonts w:ascii="Arial" w:hAnsi="Arial" w:cs="Arial"/>
            <w:b w:val="0"/>
            <w:noProof/>
            <w:webHidden/>
          </w:rPr>
          <w:tab/>
        </w:r>
        <w:r w:rsidR="002217D4" w:rsidRPr="00682009">
          <w:rPr>
            <w:rFonts w:ascii="Arial" w:hAnsi="Arial" w:cs="Arial"/>
            <w:b w:val="0"/>
            <w:noProof/>
            <w:webHidden/>
          </w:rPr>
          <w:fldChar w:fldCharType="begin"/>
        </w:r>
        <w:r w:rsidR="002217D4" w:rsidRPr="00682009">
          <w:rPr>
            <w:rFonts w:ascii="Arial" w:hAnsi="Arial" w:cs="Arial"/>
            <w:b w:val="0"/>
            <w:noProof/>
            <w:webHidden/>
          </w:rPr>
          <w:instrText xml:space="preserve"> PAGEREF _Toc97737598 \h </w:instrText>
        </w:r>
        <w:r w:rsidR="002217D4" w:rsidRPr="00682009">
          <w:rPr>
            <w:rFonts w:ascii="Arial" w:hAnsi="Arial" w:cs="Arial"/>
            <w:b w:val="0"/>
            <w:noProof/>
            <w:webHidden/>
          </w:rPr>
        </w:r>
        <w:r w:rsidR="002217D4" w:rsidRPr="00682009">
          <w:rPr>
            <w:rFonts w:ascii="Arial" w:hAnsi="Arial" w:cs="Arial"/>
            <w:b w:val="0"/>
            <w:noProof/>
            <w:webHidden/>
          </w:rPr>
          <w:fldChar w:fldCharType="separate"/>
        </w:r>
        <w:r w:rsidR="002217D4" w:rsidRPr="00682009">
          <w:rPr>
            <w:rFonts w:ascii="Arial" w:hAnsi="Arial" w:cs="Arial"/>
            <w:b w:val="0"/>
            <w:noProof/>
            <w:webHidden/>
          </w:rPr>
          <w:t>4</w:t>
        </w:r>
        <w:r w:rsidR="002217D4" w:rsidRPr="00682009">
          <w:rPr>
            <w:rFonts w:ascii="Arial" w:hAnsi="Arial" w:cs="Arial"/>
            <w:b w:val="0"/>
            <w:noProof/>
            <w:webHidden/>
          </w:rPr>
          <w:fldChar w:fldCharType="end"/>
        </w:r>
      </w:hyperlink>
    </w:p>
    <w:p w14:paraId="3DBB4BA6" w14:textId="1561764A" w:rsidR="002217D4" w:rsidRPr="00682009" w:rsidRDefault="00682009" w:rsidP="002217D4">
      <w:pPr>
        <w:pStyle w:val="TOC2"/>
        <w:rPr>
          <w:rFonts w:ascii="Arial" w:eastAsiaTheme="minorEastAsia" w:hAnsi="Arial" w:cs="Arial"/>
          <w:b w:val="0"/>
          <w:noProof/>
        </w:rPr>
      </w:pPr>
      <w:hyperlink w:anchor="_Toc97737599" w:history="1">
        <w:r w:rsidR="002217D4" w:rsidRPr="00682009">
          <w:rPr>
            <w:rStyle w:val="Hyperlink"/>
            <w:rFonts w:ascii="Arial" w:hAnsi="Arial" w:cs="Arial"/>
            <w:b w:val="0"/>
            <w:noProof/>
          </w:rPr>
          <w:t>1.1.4 Administrative Thresholds</w:t>
        </w:r>
        <w:r w:rsidR="002217D4" w:rsidRPr="00682009">
          <w:rPr>
            <w:rFonts w:ascii="Arial" w:hAnsi="Arial" w:cs="Arial"/>
            <w:b w:val="0"/>
            <w:noProof/>
            <w:webHidden/>
          </w:rPr>
          <w:tab/>
        </w:r>
        <w:r w:rsidR="002217D4" w:rsidRPr="00682009">
          <w:rPr>
            <w:rFonts w:ascii="Arial" w:hAnsi="Arial" w:cs="Arial"/>
            <w:b w:val="0"/>
            <w:noProof/>
            <w:webHidden/>
          </w:rPr>
          <w:fldChar w:fldCharType="begin"/>
        </w:r>
        <w:r w:rsidR="002217D4" w:rsidRPr="00682009">
          <w:rPr>
            <w:rFonts w:ascii="Arial" w:hAnsi="Arial" w:cs="Arial"/>
            <w:b w:val="0"/>
            <w:noProof/>
            <w:webHidden/>
          </w:rPr>
          <w:instrText xml:space="preserve"> PAGEREF _Toc97737599 \h </w:instrText>
        </w:r>
        <w:r w:rsidR="002217D4" w:rsidRPr="00682009">
          <w:rPr>
            <w:rFonts w:ascii="Arial" w:hAnsi="Arial" w:cs="Arial"/>
            <w:b w:val="0"/>
            <w:noProof/>
            <w:webHidden/>
          </w:rPr>
        </w:r>
        <w:r w:rsidR="002217D4" w:rsidRPr="00682009">
          <w:rPr>
            <w:rFonts w:ascii="Arial" w:hAnsi="Arial" w:cs="Arial"/>
            <w:b w:val="0"/>
            <w:noProof/>
            <w:webHidden/>
          </w:rPr>
          <w:fldChar w:fldCharType="separate"/>
        </w:r>
        <w:r w:rsidR="002217D4" w:rsidRPr="00682009">
          <w:rPr>
            <w:rFonts w:ascii="Arial" w:hAnsi="Arial" w:cs="Arial"/>
            <w:b w:val="0"/>
            <w:noProof/>
            <w:webHidden/>
          </w:rPr>
          <w:t>5</w:t>
        </w:r>
        <w:r w:rsidR="002217D4" w:rsidRPr="00682009">
          <w:rPr>
            <w:rFonts w:ascii="Arial" w:hAnsi="Arial" w:cs="Arial"/>
            <w:b w:val="0"/>
            <w:noProof/>
            <w:webHidden/>
          </w:rPr>
          <w:fldChar w:fldCharType="end"/>
        </w:r>
      </w:hyperlink>
    </w:p>
    <w:p w14:paraId="5551F4A6" w14:textId="30D6DEFA" w:rsidR="002217D4" w:rsidRPr="00682009" w:rsidRDefault="00682009" w:rsidP="002217D4">
      <w:pPr>
        <w:pStyle w:val="TOC2"/>
        <w:rPr>
          <w:rFonts w:ascii="Arial" w:eastAsiaTheme="minorEastAsia" w:hAnsi="Arial" w:cs="Arial"/>
          <w:b w:val="0"/>
          <w:noProof/>
        </w:rPr>
      </w:pPr>
      <w:hyperlink w:anchor="_Toc97737600" w:history="1">
        <w:r w:rsidR="002217D4" w:rsidRPr="00682009">
          <w:rPr>
            <w:rStyle w:val="Hyperlink"/>
            <w:rFonts w:ascii="Arial" w:hAnsi="Arial" w:cs="Arial"/>
            <w:b w:val="0"/>
            <w:noProof/>
          </w:rPr>
          <w:t>1.1.5 Public Participation</w:t>
        </w:r>
        <w:r w:rsidR="002217D4" w:rsidRPr="00682009">
          <w:rPr>
            <w:rFonts w:ascii="Arial" w:hAnsi="Arial" w:cs="Arial"/>
            <w:b w:val="0"/>
            <w:noProof/>
            <w:webHidden/>
          </w:rPr>
          <w:tab/>
        </w:r>
        <w:r w:rsidR="002217D4" w:rsidRPr="00682009">
          <w:rPr>
            <w:rFonts w:ascii="Arial" w:hAnsi="Arial" w:cs="Arial"/>
            <w:b w:val="0"/>
            <w:noProof/>
            <w:webHidden/>
          </w:rPr>
          <w:fldChar w:fldCharType="begin"/>
        </w:r>
        <w:r w:rsidR="002217D4" w:rsidRPr="00682009">
          <w:rPr>
            <w:rFonts w:ascii="Arial" w:hAnsi="Arial" w:cs="Arial"/>
            <w:b w:val="0"/>
            <w:noProof/>
            <w:webHidden/>
          </w:rPr>
          <w:instrText xml:space="preserve"> PAGEREF _Toc97737600 \h </w:instrText>
        </w:r>
        <w:r w:rsidR="002217D4" w:rsidRPr="00682009">
          <w:rPr>
            <w:rFonts w:ascii="Arial" w:hAnsi="Arial" w:cs="Arial"/>
            <w:b w:val="0"/>
            <w:noProof/>
            <w:webHidden/>
          </w:rPr>
        </w:r>
        <w:r w:rsidR="002217D4" w:rsidRPr="00682009">
          <w:rPr>
            <w:rFonts w:ascii="Arial" w:hAnsi="Arial" w:cs="Arial"/>
            <w:b w:val="0"/>
            <w:noProof/>
            <w:webHidden/>
          </w:rPr>
          <w:fldChar w:fldCharType="separate"/>
        </w:r>
        <w:r w:rsidR="002217D4" w:rsidRPr="00682009">
          <w:rPr>
            <w:rFonts w:ascii="Arial" w:hAnsi="Arial" w:cs="Arial"/>
            <w:b w:val="0"/>
            <w:noProof/>
            <w:webHidden/>
          </w:rPr>
          <w:t>9</w:t>
        </w:r>
        <w:r w:rsidR="002217D4" w:rsidRPr="00682009">
          <w:rPr>
            <w:rFonts w:ascii="Arial" w:hAnsi="Arial" w:cs="Arial"/>
            <w:b w:val="0"/>
            <w:noProof/>
            <w:webHidden/>
          </w:rPr>
          <w:fldChar w:fldCharType="end"/>
        </w:r>
      </w:hyperlink>
    </w:p>
    <w:p w14:paraId="442359DF" w14:textId="7B65B527" w:rsidR="002217D4" w:rsidRPr="00682009" w:rsidRDefault="00682009" w:rsidP="002217D4">
      <w:pPr>
        <w:pStyle w:val="TOC2"/>
        <w:rPr>
          <w:rFonts w:ascii="Arial" w:eastAsiaTheme="minorEastAsia" w:hAnsi="Arial" w:cs="Arial"/>
          <w:b w:val="0"/>
          <w:noProof/>
        </w:rPr>
      </w:pPr>
      <w:hyperlink w:anchor="_Toc97737601" w:history="1">
        <w:r w:rsidR="002217D4" w:rsidRPr="00682009">
          <w:rPr>
            <w:rStyle w:val="Hyperlink"/>
            <w:rFonts w:ascii="Arial" w:hAnsi="Arial" w:cs="Arial"/>
            <w:b w:val="0"/>
            <w:noProof/>
          </w:rPr>
          <w:t>1.1.6 Key Geographic Terms</w:t>
        </w:r>
        <w:r w:rsidR="002217D4" w:rsidRPr="00682009">
          <w:rPr>
            <w:rFonts w:ascii="Arial" w:hAnsi="Arial" w:cs="Arial"/>
            <w:b w:val="0"/>
            <w:noProof/>
            <w:webHidden/>
          </w:rPr>
          <w:tab/>
        </w:r>
        <w:r w:rsidR="002217D4" w:rsidRPr="00682009">
          <w:rPr>
            <w:rFonts w:ascii="Arial" w:hAnsi="Arial" w:cs="Arial"/>
            <w:b w:val="0"/>
            <w:noProof/>
            <w:webHidden/>
          </w:rPr>
          <w:fldChar w:fldCharType="begin"/>
        </w:r>
        <w:r w:rsidR="002217D4" w:rsidRPr="00682009">
          <w:rPr>
            <w:rFonts w:ascii="Arial" w:hAnsi="Arial" w:cs="Arial"/>
            <w:b w:val="0"/>
            <w:noProof/>
            <w:webHidden/>
          </w:rPr>
          <w:instrText xml:space="preserve"> PAGEREF _Toc97737601 \h </w:instrText>
        </w:r>
        <w:r w:rsidR="002217D4" w:rsidRPr="00682009">
          <w:rPr>
            <w:rFonts w:ascii="Arial" w:hAnsi="Arial" w:cs="Arial"/>
            <w:b w:val="0"/>
            <w:noProof/>
            <w:webHidden/>
          </w:rPr>
        </w:r>
        <w:r w:rsidR="002217D4" w:rsidRPr="00682009">
          <w:rPr>
            <w:rFonts w:ascii="Arial" w:hAnsi="Arial" w:cs="Arial"/>
            <w:b w:val="0"/>
            <w:noProof/>
            <w:webHidden/>
          </w:rPr>
          <w:fldChar w:fldCharType="separate"/>
        </w:r>
        <w:r w:rsidR="002217D4" w:rsidRPr="00682009">
          <w:rPr>
            <w:rFonts w:ascii="Arial" w:hAnsi="Arial" w:cs="Arial"/>
            <w:b w:val="0"/>
            <w:noProof/>
            <w:webHidden/>
          </w:rPr>
          <w:t>10</w:t>
        </w:r>
        <w:r w:rsidR="002217D4" w:rsidRPr="00682009">
          <w:rPr>
            <w:rFonts w:ascii="Arial" w:hAnsi="Arial" w:cs="Arial"/>
            <w:b w:val="0"/>
            <w:noProof/>
            <w:webHidden/>
          </w:rPr>
          <w:fldChar w:fldCharType="end"/>
        </w:r>
      </w:hyperlink>
    </w:p>
    <w:p w14:paraId="1B3BAA7D" w14:textId="473BBFA2" w:rsidR="002217D4" w:rsidRPr="00682009" w:rsidRDefault="00682009" w:rsidP="002217D4">
      <w:pPr>
        <w:pStyle w:val="TOC1"/>
        <w:rPr>
          <w:rFonts w:eastAsiaTheme="minorEastAsia" w:cs="Arial"/>
          <w:noProof/>
          <w:sz w:val="22"/>
          <w:szCs w:val="22"/>
        </w:rPr>
      </w:pPr>
      <w:hyperlink w:anchor="_Toc97737602" w:history="1">
        <w:r w:rsidR="002217D4" w:rsidRPr="00682009">
          <w:rPr>
            <w:rStyle w:val="Hyperlink"/>
            <w:rFonts w:cs="Arial"/>
            <w:noProof/>
            <w:sz w:val="22"/>
            <w:szCs w:val="22"/>
          </w:rPr>
          <w:t>1.2 Reporting and Recordkeeping</w:t>
        </w:r>
        <w:r w:rsidR="002217D4" w:rsidRPr="00682009">
          <w:rPr>
            <w:rFonts w:cs="Arial"/>
            <w:noProof/>
            <w:webHidden/>
            <w:sz w:val="22"/>
            <w:szCs w:val="22"/>
          </w:rPr>
          <w:tab/>
        </w:r>
        <w:r w:rsidR="002217D4" w:rsidRPr="00682009">
          <w:rPr>
            <w:rFonts w:cs="Arial"/>
            <w:noProof/>
            <w:webHidden/>
            <w:sz w:val="22"/>
            <w:szCs w:val="22"/>
          </w:rPr>
          <w:fldChar w:fldCharType="begin"/>
        </w:r>
        <w:r w:rsidR="002217D4" w:rsidRPr="00682009">
          <w:rPr>
            <w:rFonts w:cs="Arial"/>
            <w:noProof/>
            <w:webHidden/>
            <w:sz w:val="22"/>
            <w:szCs w:val="22"/>
          </w:rPr>
          <w:instrText xml:space="preserve"> PAGEREF _Toc97737602 \h </w:instrText>
        </w:r>
        <w:r w:rsidR="002217D4" w:rsidRPr="00682009">
          <w:rPr>
            <w:rFonts w:cs="Arial"/>
            <w:noProof/>
            <w:webHidden/>
            <w:sz w:val="22"/>
            <w:szCs w:val="22"/>
          </w:rPr>
        </w:r>
        <w:r w:rsidR="002217D4" w:rsidRPr="00682009">
          <w:rPr>
            <w:rFonts w:cs="Arial"/>
            <w:noProof/>
            <w:webHidden/>
            <w:sz w:val="22"/>
            <w:szCs w:val="22"/>
          </w:rPr>
          <w:fldChar w:fldCharType="separate"/>
        </w:r>
        <w:r w:rsidR="002217D4" w:rsidRPr="00682009">
          <w:rPr>
            <w:rFonts w:cs="Arial"/>
            <w:noProof/>
            <w:webHidden/>
            <w:sz w:val="22"/>
            <w:szCs w:val="22"/>
          </w:rPr>
          <w:t>11</w:t>
        </w:r>
        <w:r w:rsidR="002217D4" w:rsidRPr="00682009">
          <w:rPr>
            <w:rFonts w:cs="Arial"/>
            <w:noProof/>
            <w:webHidden/>
            <w:sz w:val="22"/>
            <w:szCs w:val="22"/>
          </w:rPr>
          <w:fldChar w:fldCharType="end"/>
        </w:r>
      </w:hyperlink>
    </w:p>
    <w:p w14:paraId="5B083528" w14:textId="614FCCA0" w:rsidR="002217D4" w:rsidRPr="00682009" w:rsidRDefault="00682009" w:rsidP="002217D4">
      <w:pPr>
        <w:pStyle w:val="TOC2"/>
        <w:rPr>
          <w:rFonts w:ascii="Arial" w:eastAsiaTheme="minorEastAsia" w:hAnsi="Arial" w:cs="Arial"/>
          <w:b w:val="0"/>
          <w:noProof/>
        </w:rPr>
      </w:pPr>
      <w:hyperlink w:anchor="_Toc97737603" w:history="1">
        <w:r w:rsidR="002217D4" w:rsidRPr="00682009">
          <w:rPr>
            <w:rStyle w:val="Hyperlink"/>
            <w:rFonts w:ascii="Arial" w:hAnsi="Arial" w:cs="Arial"/>
            <w:b w:val="0"/>
            <w:noProof/>
          </w:rPr>
          <w:t>1.2.1 Establish a Record-keeping System</w:t>
        </w:r>
        <w:r w:rsidR="002217D4" w:rsidRPr="00682009">
          <w:rPr>
            <w:rFonts w:ascii="Arial" w:hAnsi="Arial" w:cs="Arial"/>
            <w:b w:val="0"/>
            <w:noProof/>
            <w:webHidden/>
          </w:rPr>
          <w:tab/>
        </w:r>
        <w:r w:rsidR="002217D4" w:rsidRPr="00682009">
          <w:rPr>
            <w:rFonts w:ascii="Arial" w:hAnsi="Arial" w:cs="Arial"/>
            <w:b w:val="0"/>
            <w:noProof/>
            <w:webHidden/>
          </w:rPr>
          <w:fldChar w:fldCharType="begin"/>
        </w:r>
        <w:r w:rsidR="002217D4" w:rsidRPr="00682009">
          <w:rPr>
            <w:rFonts w:ascii="Arial" w:hAnsi="Arial" w:cs="Arial"/>
            <w:b w:val="0"/>
            <w:noProof/>
            <w:webHidden/>
          </w:rPr>
          <w:instrText xml:space="preserve"> PAGEREF _Toc97737603 \h </w:instrText>
        </w:r>
        <w:r w:rsidR="002217D4" w:rsidRPr="00682009">
          <w:rPr>
            <w:rFonts w:ascii="Arial" w:hAnsi="Arial" w:cs="Arial"/>
            <w:b w:val="0"/>
            <w:noProof/>
            <w:webHidden/>
          </w:rPr>
        </w:r>
        <w:r w:rsidR="002217D4" w:rsidRPr="00682009">
          <w:rPr>
            <w:rFonts w:ascii="Arial" w:hAnsi="Arial" w:cs="Arial"/>
            <w:b w:val="0"/>
            <w:noProof/>
            <w:webHidden/>
          </w:rPr>
          <w:fldChar w:fldCharType="separate"/>
        </w:r>
        <w:r w:rsidR="002217D4" w:rsidRPr="00682009">
          <w:rPr>
            <w:rFonts w:ascii="Arial" w:hAnsi="Arial" w:cs="Arial"/>
            <w:b w:val="0"/>
            <w:noProof/>
            <w:webHidden/>
          </w:rPr>
          <w:t>11</w:t>
        </w:r>
        <w:r w:rsidR="002217D4" w:rsidRPr="00682009">
          <w:rPr>
            <w:rFonts w:ascii="Arial" w:hAnsi="Arial" w:cs="Arial"/>
            <w:b w:val="0"/>
            <w:noProof/>
            <w:webHidden/>
          </w:rPr>
          <w:fldChar w:fldCharType="end"/>
        </w:r>
      </w:hyperlink>
    </w:p>
    <w:p w14:paraId="64EC1EC3" w14:textId="1EE21F0F" w:rsidR="002217D4" w:rsidRPr="00682009" w:rsidRDefault="00682009" w:rsidP="002217D4">
      <w:pPr>
        <w:pStyle w:val="TOC2"/>
        <w:rPr>
          <w:rFonts w:ascii="Arial" w:eastAsiaTheme="minorEastAsia" w:hAnsi="Arial" w:cs="Arial"/>
          <w:b w:val="0"/>
          <w:noProof/>
        </w:rPr>
      </w:pPr>
      <w:hyperlink w:anchor="_Toc97737604" w:history="1">
        <w:r w:rsidR="002217D4" w:rsidRPr="00682009">
          <w:rPr>
            <w:rStyle w:val="Hyperlink"/>
            <w:rFonts w:ascii="Arial" w:hAnsi="Arial" w:cs="Arial"/>
            <w:b w:val="0"/>
            <w:noProof/>
          </w:rPr>
          <w:t>1.2.2 Conflict of Interest</w:t>
        </w:r>
        <w:r w:rsidR="002217D4" w:rsidRPr="00682009">
          <w:rPr>
            <w:rFonts w:ascii="Arial" w:hAnsi="Arial" w:cs="Arial"/>
            <w:b w:val="0"/>
            <w:noProof/>
            <w:webHidden/>
          </w:rPr>
          <w:tab/>
        </w:r>
        <w:r w:rsidR="002217D4" w:rsidRPr="00682009">
          <w:rPr>
            <w:rFonts w:ascii="Arial" w:hAnsi="Arial" w:cs="Arial"/>
            <w:b w:val="0"/>
            <w:noProof/>
            <w:webHidden/>
          </w:rPr>
          <w:fldChar w:fldCharType="begin"/>
        </w:r>
        <w:r w:rsidR="002217D4" w:rsidRPr="00682009">
          <w:rPr>
            <w:rFonts w:ascii="Arial" w:hAnsi="Arial" w:cs="Arial"/>
            <w:b w:val="0"/>
            <w:noProof/>
            <w:webHidden/>
          </w:rPr>
          <w:instrText xml:space="preserve"> PAGEREF _Toc97737604 \h </w:instrText>
        </w:r>
        <w:r w:rsidR="002217D4" w:rsidRPr="00682009">
          <w:rPr>
            <w:rFonts w:ascii="Arial" w:hAnsi="Arial" w:cs="Arial"/>
            <w:b w:val="0"/>
            <w:noProof/>
            <w:webHidden/>
          </w:rPr>
        </w:r>
        <w:r w:rsidR="002217D4" w:rsidRPr="00682009">
          <w:rPr>
            <w:rFonts w:ascii="Arial" w:hAnsi="Arial" w:cs="Arial"/>
            <w:b w:val="0"/>
            <w:noProof/>
            <w:webHidden/>
          </w:rPr>
          <w:fldChar w:fldCharType="separate"/>
        </w:r>
        <w:r w:rsidR="002217D4" w:rsidRPr="00682009">
          <w:rPr>
            <w:rFonts w:ascii="Arial" w:hAnsi="Arial" w:cs="Arial"/>
            <w:b w:val="0"/>
            <w:noProof/>
            <w:webHidden/>
          </w:rPr>
          <w:t>12</w:t>
        </w:r>
        <w:r w:rsidR="002217D4" w:rsidRPr="00682009">
          <w:rPr>
            <w:rFonts w:ascii="Arial" w:hAnsi="Arial" w:cs="Arial"/>
            <w:b w:val="0"/>
            <w:noProof/>
            <w:webHidden/>
          </w:rPr>
          <w:fldChar w:fldCharType="end"/>
        </w:r>
      </w:hyperlink>
    </w:p>
    <w:p w14:paraId="516519DF" w14:textId="0DA6D59A" w:rsidR="002217D4" w:rsidRPr="00682009" w:rsidRDefault="00682009" w:rsidP="002217D4">
      <w:pPr>
        <w:pStyle w:val="TOC2"/>
        <w:rPr>
          <w:rFonts w:ascii="Arial" w:eastAsiaTheme="minorEastAsia" w:hAnsi="Arial" w:cs="Arial"/>
          <w:b w:val="0"/>
          <w:noProof/>
        </w:rPr>
      </w:pPr>
      <w:hyperlink w:anchor="_Toc97737605" w:history="1">
        <w:r w:rsidR="002217D4" w:rsidRPr="00682009">
          <w:rPr>
            <w:rStyle w:val="Hyperlink"/>
            <w:rFonts w:ascii="Arial" w:hAnsi="Arial" w:cs="Arial"/>
            <w:b w:val="0"/>
            <w:noProof/>
          </w:rPr>
          <w:t>1.2.3 Grant Overview Information</w:t>
        </w:r>
        <w:r w:rsidR="002217D4" w:rsidRPr="00682009">
          <w:rPr>
            <w:rFonts w:ascii="Arial" w:hAnsi="Arial" w:cs="Arial"/>
            <w:b w:val="0"/>
            <w:noProof/>
            <w:webHidden/>
          </w:rPr>
          <w:tab/>
        </w:r>
        <w:r w:rsidR="002217D4" w:rsidRPr="00682009">
          <w:rPr>
            <w:rFonts w:ascii="Arial" w:hAnsi="Arial" w:cs="Arial"/>
            <w:b w:val="0"/>
            <w:noProof/>
            <w:webHidden/>
          </w:rPr>
          <w:fldChar w:fldCharType="begin"/>
        </w:r>
        <w:r w:rsidR="002217D4" w:rsidRPr="00682009">
          <w:rPr>
            <w:rFonts w:ascii="Arial" w:hAnsi="Arial" w:cs="Arial"/>
            <w:b w:val="0"/>
            <w:noProof/>
            <w:webHidden/>
          </w:rPr>
          <w:instrText xml:space="preserve"> PAGEREF _Toc97737605 \h </w:instrText>
        </w:r>
        <w:r w:rsidR="002217D4" w:rsidRPr="00682009">
          <w:rPr>
            <w:rFonts w:ascii="Arial" w:hAnsi="Arial" w:cs="Arial"/>
            <w:b w:val="0"/>
            <w:noProof/>
            <w:webHidden/>
          </w:rPr>
        </w:r>
        <w:r w:rsidR="002217D4" w:rsidRPr="00682009">
          <w:rPr>
            <w:rFonts w:ascii="Arial" w:hAnsi="Arial" w:cs="Arial"/>
            <w:b w:val="0"/>
            <w:noProof/>
            <w:webHidden/>
          </w:rPr>
          <w:fldChar w:fldCharType="separate"/>
        </w:r>
        <w:r w:rsidR="002217D4" w:rsidRPr="00682009">
          <w:rPr>
            <w:rFonts w:ascii="Arial" w:hAnsi="Arial" w:cs="Arial"/>
            <w:b w:val="0"/>
            <w:noProof/>
            <w:webHidden/>
          </w:rPr>
          <w:t>13</w:t>
        </w:r>
        <w:r w:rsidR="002217D4" w:rsidRPr="00682009">
          <w:rPr>
            <w:rFonts w:ascii="Arial" w:hAnsi="Arial" w:cs="Arial"/>
            <w:b w:val="0"/>
            <w:noProof/>
            <w:webHidden/>
          </w:rPr>
          <w:fldChar w:fldCharType="end"/>
        </w:r>
      </w:hyperlink>
    </w:p>
    <w:p w14:paraId="2E9E6398" w14:textId="71691063" w:rsidR="002217D4" w:rsidRPr="00682009" w:rsidRDefault="00682009" w:rsidP="002217D4">
      <w:pPr>
        <w:pStyle w:val="TOC2"/>
        <w:rPr>
          <w:rFonts w:ascii="Arial" w:eastAsiaTheme="minorEastAsia" w:hAnsi="Arial" w:cs="Arial"/>
          <w:b w:val="0"/>
          <w:noProof/>
        </w:rPr>
      </w:pPr>
      <w:hyperlink w:anchor="_Toc97737606" w:history="1">
        <w:r w:rsidR="002217D4" w:rsidRPr="00682009">
          <w:rPr>
            <w:rStyle w:val="Hyperlink"/>
            <w:rFonts w:ascii="Arial" w:hAnsi="Arial" w:cs="Arial"/>
            <w:b w:val="0"/>
            <w:noProof/>
          </w:rPr>
          <w:t>1.2.4  Payment Requests and Progress Reports</w:t>
        </w:r>
        <w:r w:rsidR="002217D4" w:rsidRPr="00682009">
          <w:rPr>
            <w:rFonts w:ascii="Arial" w:hAnsi="Arial" w:cs="Arial"/>
            <w:b w:val="0"/>
            <w:noProof/>
            <w:webHidden/>
          </w:rPr>
          <w:tab/>
        </w:r>
        <w:r w:rsidR="002217D4" w:rsidRPr="00682009">
          <w:rPr>
            <w:rFonts w:ascii="Arial" w:hAnsi="Arial" w:cs="Arial"/>
            <w:b w:val="0"/>
            <w:noProof/>
            <w:webHidden/>
          </w:rPr>
          <w:fldChar w:fldCharType="begin"/>
        </w:r>
        <w:r w:rsidR="002217D4" w:rsidRPr="00682009">
          <w:rPr>
            <w:rFonts w:ascii="Arial" w:hAnsi="Arial" w:cs="Arial"/>
            <w:b w:val="0"/>
            <w:noProof/>
            <w:webHidden/>
          </w:rPr>
          <w:instrText xml:space="preserve"> PAGEREF _Toc97737606 \h </w:instrText>
        </w:r>
        <w:r w:rsidR="002217D4" w:rsidRPr="00682009">
          <w:rPr>
            <w:rFonts w:ascii="Arial" w:hAnsi="Arial" w:cs="Arial"/>
            <w:b w:val="0"/>
            <w:noProof/>
            <w:webHidden/>
          </w:rPr>
        </w:r>
        <w:r w:rsidR="002217D4" w:rsidRPr="00682009">
          <w:rPr>
            <w:rFonts w:ascii="Arial" w:hAnsi="Arial" w:cs="Arial"/>
            <w:b w:val="0"/>
            <w:noProof/>
            <w:webHidden/>
          </w:rPr>
          <w:fldChar w:fldCharType="separate"/>
        </w:r>
        <w:r w:rsidR="002217D4" w:rsidRPr="00682009">
          <w:rPr>
            <w:rFonts w:ascii="Arial" w:hAnsi="Arial" w:cs="Arial"/>
            <w:b w:val="0"/>
            <w:noProof/>
            <w:webHidden/>
          </w:rPr>
          <w:t>14</w:t>
        </w:r>
        <w:r w:rsidR="002217D4" w:rsidRPr="00682009">
          <w:rPr>
            <w:rFonts w:ascii="Arial" w:hAnsi="Arial" w:cs="Arial"/>
            <w:b w:val="0"/>
            <w:noProof/>
            <w:webHidden/>
          </w:rPr>
          <w:fldChar w:fldCharType="end"/>
        </w:r>
      </w:hyperlink>
    </w:p>
    <w:p w14:paraId="21AE4EF2" w14:textId="4E078420" w:rsidR="0016776F" w:rsidRPr="002B6DBE" w:rsidRDefault="00E0533B" w:rsidP="00842FB6">
      <w:pPr>
        <w:pStyle w:val="Header"/>
        <w:tabs>
          <w:tab w:val="clear" w:pos="4320"/>
          <w:tab w:val="clear" w:pos="8640"/>
        </w:tabs>
        <w:spacing w:after="240" w:line="276" w:lineRule="auto"/>
        <w:rPr>
          <w:rFonts w:ascii="Arial" w:hAnsi="Arial" w:cs="Arial"/>
          <w:sz w:val="22"/>
          <w:szCs w:val="22"/>
        </w:rPr>
      </w:pPr>
      <w:r w:rsidRPr="00682009">
        <w:rPr>
          <w:rFonts w:ascii="Arial" w:hAnsi="Arial" w:cs="Arial"/>
          <w:bCs/>
          <w:i/>
          <w:iCs/>
          <w:sz w:val="22"/>
          <w:szCs w:val="22"/>
        </w:rPr>
        <w:fldChar w:fldCharType="end"/>
      </w:r>
    </w:p>
    <w:bookmarkEnd w:id="0"/>
    <w:bookmarkEnd w:id="1"/>
    <w:bookmarkEnd w:id="2"/>
    <w:bookmarkEnd w:id="3"/>
    <w:bookmarkEnd w:id="4"/>
    <w:p w14:paraId="27E18CFF" w14:textId="77777777" w:rsidR="00F81FBC" w:rsidRPr="00B56F73" w:rsidRDefault="00420A93" w:rsidP="00F81FBC">
      <w:pPr>
        <w:pStyle w:val="Heading9"/>
        <w:pBdr>
          <w:bottom w:val="none" w:sz="0" w:space="0" w:color="auto"/>
        </w:pBdr>
        <w:rPr>
          <w:rFonts w:ascii="Arial" w:hAnsi="Arial" w:cs="Arial"/>
        </w:rPr>
      </w:pPr>
      <w:r w:rsidRPr="00B56F73">
        <w:rPr>
          <w:rFonts w:ascii="Arial" w:hAnsi="Arial" w:cs="Arial"/>
        </w:rPr>
        <w:br w:type="page"/>
      </w:r>
      <w:r w:rsidR="00F81FBC" w:rsidRPr="00B56F73">
        <w:rPr>
          <w:rFonts w:ascii="Arial" w:hAnsi="Arial" w:cs="Arial"/>
        </w:rPr>
        <w:lastRenderedPageBreak/>
        <w:t>CHAPTER 1</w:t>
      </w:r>
    </w:p>
    <w:p w14:paraId="297C4F90" w14:textId="7F14D5BA" w:rsidR="00F81FBC" w:rsidRPr="003404CE" w:rsidRDefault="00330486" w:rsidP="00F81FBC">
      <w:pPr>
        <w:jc w:val="center"/>
        <w:rPr>
          <w:rFonts w:ascii="Arial" w:hAnsi="Arial" w:cs="Arial"/>
          <w:b/>
          <w:sz w:val="52"/>
          <w:szCs w:val="52"/>
        </w:rPr>
      </w:pPr>
      <w:r>
        <w:rPr>
          <w:rFonts w:ascii="Arial" w:hAnsi="Arial" w:cs="Arial"/>
          <w:b/>
          <w:sz w:val="52"/>
          <w:szCs w:val="52"/>
        </w:rPr>
        <w:t>ADMINISTRATION AND REPORTING</w:t>
      </w:r>
    </w:p>
    <w:p w14:paraId="15F6108B" w14:textId="2104FDDD" w:rsidR="007E737D" w:rsidRPr="00B56F73" w:rsidRDefault="007E737D" w:rsidP="00F81FBC">
      <w:pPr>
        <w:pStyle w:val="Heading9"/>
        <w:pBdr>
          <w:bottom w:val="none" w:sz="0" w:space="0" w:color="auto"/>
        </w:pBdr>
        <w:rPr>
          <w:rFonts w:ascii="Arial" w:hAnsi="Arial" w:cs="Arial"/>
          <w:b w:val="0"/>
          <w:sz w:val="22"/>
          <w:szCs w:val="22"/>
        </w:rPr>
      </w:pPr>
    </w:p>
    <w:p w14:paraId="1BE565E9" w14:textId="31FBF8B8" w:rsidR="00BA4F62" w:rsidRDefault="008856E9" w:rsidP="000B7512">
      <w:pPr>
        <w:jc w:val="both"/>
        <w:rPr>
          <w:rFonts w:ascii="Arial" w:hAnsi="Arial" w:cs="Arial"/>
          <w:sz w:val="22"/>
          <w:szCs w:val="22"/>
        </w:rPr>
      </w:pPr>
      <w:r w:rsidRPr="00B56F73">
        <w:rPr>
          <w:rFonts w:ascii="Arial" w:hAnsi="Arial" w:cs="Arial"/>
          <w:sz w:val="22"/>
          <w:szCs w:val="22"/>
        </w:rPr>
        <w:t>This chapter highlights the steps in getting started and implem</w:t>
      </w:r>
      <w:r w:rsidR="007F7613" w:rsidRPr="00B56F73">
        <w:rPr>
          <w:rFonts w:ascii="Arial" w:hAnsi="Arial" w:cs="Arial"/>
          <w:sz w:val="22"/>
          <w:szCs w:val="22"/>
        </w:rPr>
        <w:t xml:space="preserve">enting your TxCDBG </w:t>
      </w:r>
      <w:r w:rsidR="00C74C3A">
        <w:rPr>
          <w:rFonts w:ascii="Arial" w:hAnsi="Arial" w:cs="Arial"/>
          <w:sz w:val="22"/>
          <w:szCs w:val="22"/>
        </w:rPr>
        <w:t>agreement</w:t>
      </w:r>
      <w:r w:rsidR="00C74C3A" w:rsidRPr="00B56F73">
        <w:rPr>
          <w:rFonts w:ascii="Arial" w:hAnsi="Arial" w:cs="Arial"/>
          <w:sz w:val="22"/>
          <w:szCs w:val="22"/>
        </w:rPr>
        <w:t xml:space="preserve"> </w:t>
      </w:r>
      <w:r w:rsidRPr="00B56F73">
        <w:rPr>
          <w:rFonts w:ascii="Arial" w:hAnsi="Arial" w:cs="Arial"/>
          <w:sz w:val="22"/>
          <w:szCs w:val="22"/>
        </w:rPr>
        <w:t xml:space="preserve">for </w:t>
      </w:r>
      <w:r w:rsidR="00C93537">
        <w:rPr>
          <w:rFonts w:ascii="Arial" w:hAnsi="Arial" w:cs="Arial"/>
          <w:sz w:val="22"/>
          <w:szCs w:val="22"/>
        </w:rPr>
        <w:t xml:space="preserve">successful project management. </w:t>
      </w:r>
      <w:r w:rsidR="00BA4F62" w:rsidRPr="00B56F73">
        <w:rPr>
          <w:rFonts w:ascii="Arial" w:hAnsi="Arial" w:cs="Arial"/>
          <w:sz w:val="22"/>
          <w:szCs w:val="22"/>
        </w:rPr>
        <w:t xml:space="preserve">Prior to implementing a project, a </w:t>
      </w:r>
      <w:r w:rsidR="007D17A8">
        <w:rPr>
          <w:rFonts w:ascii="Arial" w:hAnsi="Arial" w:cs="Arial"/>
          <w:sz w:val="22"/>
          <w:szCs w:val="22"/>
        </w:rPr>
        <w:t>Grant Recipient</w:t>
      </w:r>
      <w:r w:rsidR="007D17A8" w:rsidRPr="00B56F73">
        <w:rPr>
          <w:rFonts w:ascii="Arial" w:hAnsi="Arial" w:cs="Arial"/>
          <w:sz w:val="22"/>
          <w:szCs w:val="22"/>
        </w:rPr>
        <w:t xml:space="preserve"> </w:t>
      </w:r>
      <w:r w:rsidR="00BA4F62" w:rsidRPr="00B56F73">
        <w:rPr>
          <w:rFonts w:ascii="Arial" w:hAnsi="Arial" w:cs="Arial"/>
          <w:sz w:val="22"/>
          <w:szCs w:val="22"/>
        </w:rPr>
        <w:t xml:space="preserve">should put systems in place that will allow it to track and report on its activities as required by its </w:t>
      </w:r>
      <w:r w:rsidR="00F564E3" w:rsidRPr="00B56F73">
        <w:rPr>
          <w:rFonts w:ascii="Arial" w:hAnsi="Arial" w:cs="Arial"/>
          <w:sz w:val="22"/>
          <w:szCs w:val="22"/>
        </w:rPr>
        <w:t xml:space="preserve">contract </w:t>
      </w:r>
      <w:r w:rsidR="00BA4F62" w:rsidRPr="00B56F73">
        <w:rPr>
          <w:rFonts w:ascii="Arial" w:hAnsi="Arial" w:cs="Arial"/>
          <w:sz w:val="22"/>
          <w:szCs w:val="22"/>
        </w:rPr>
        <w:t xml:space="preserve">with </w:t>
      </w:r>
      <w:r w:rsidR="000B5F52">
        <w:rPr>
          <w:rFonts w:ascii="Arial" w:hAnsi="Arial" w:cs="Arial"/>
          <w:sz w:val="22"/>
          <w:szCs w:val="22"/>
        </w:rPr>
        <w:t>TDA</w:t>
      </w:r>
      <w:r w:rsidR="00BA4F62" w:rsidRPr="00B56F73">
        <w:rPr>
          <w:rFonts w:ascii="Arial" w:hAnsi="Arial" w:cs="Arial"/>
          <w:sz w:val="22"/>
          <w:szCs w:val="22"/>
        </w:rPr>
        <w:t xml:space="preserve">. </w:t>
      </w:r>
    </w:p>
    <w:p w14:paraId="6ED1312D" w14:textId="77777777" w:rsidR="00F81FBC" w:rsidRPr="00B56F73" w:rsidRDefault="00F81FBC" w:rsidP="000B7512">
      <w:pPr>
        <w:jc w:val="both"/>
        <w:rPr>
          <w:rFonts w:ascii="Arial" w:hAnsi="Arial" w:cs="Arial"/>
          <w:sz w:val="22"/>
          <w:szCs w:val="22"/>
        </w:rPr>
      </w:pPr>
    </w:p>
    <w:p w14:paraId="4A836513" w14:textId="77777777" w:rsidR="00B13680" w:rsidRPr="00B56F73" w:rsidRDefault="00B13680" w:rsidP="000B7512">
      <w:pPr>
        <w:jc w:val="both"/>
        <w:rPr>
          <w:rFonts w:ascii="Arial" w:hAnsi="Arial" w:cs="Arial"/>
          <w:sz w:val="22"/>
          <w:szCs w:val="22"/>
        </w:rPr>
      </w:pPr>
    </w:p>
    <w:p w14:paraId="2DC9640B" w14:textId="77777777" w:rsidR="00C60DEE" w:rsidRPr="00A450A6" w:rsidRDefault="00C60DEE" w:rsidP="00A450A6">
      <w:pPr>
        <w:pStyle w:val="5Arial20"/>
      </w:pPr>
      <w:bookmarkStart w:id="5" w:name="_Toc97737595"/>
      <w:r w:rsidRPr="00A450A6">
        <w:t>1.1 Project Startup</w:t>
      </w:r>
      <w:bookmarkEnd w:id="5"/>
    </w:p>
    <w:p w14:paraId="0B42C39B" w14:textId="77777777" w:rsidR="003101B1" w:rsidRPr="003101B1" w:rsidRDefault="003101B1" w:rsidP="00A450A6">
      <w:pPr>
        <w:pStyle w:val="4ArialBold14"/>
        <w:rPr>
          <w:sz w:val="22"/>
          <w:szCs w:val="22"/>
        </w:rPr>
      </w:pPr>
      <w:bookmarkStart w:id="6" w:name="_Toc504554626"/>
      <w:bookmarkStart w:id="7" w:name="_Toc7269185"/>
      <w:bookmarkStart w:id="8" w:name="_Toc37836154"/>
      <w:bookmarkStart w:id="9" w:name="_Toc38100274"/>
    </w:p>
    <w:p w14:paraId="5172CA9E" w14:textId="0A880937" w:rsidR="0032154C" w:rsidRPr="00A450A6" w:rsidRDefault="0032154C" w:rsidP="00A450A6">
      <w:pPr>
        <w:pStyle w:val="4ArialBold14"/>
      </w:pPr>
      <w:bookmarkStart w:id="10" w:name="_Toc97737596"/>
      <w:r w:rsidRPr="00A450A6">
        <w:t>1.1.1</w:t>
      </w:r>
      <w:r w:rsidR="00F76605">
        <w:t>.</w:t>
      </w:r>
      <w:r w:rsidRPr="00A450A6">
        <w:t xml:space="preserve"> Pre-Agreement</w:t>
      </w:r>
      <w:bookmarkEnd w:id="10"/>
      <w:r w:rsidRPr="00A450A6">
        <w:t xml:space="preserve"> </w:t>
      </w:r>
    </w:p>
    <w:p w14:paraId="2276E868" w14:textId="4A947619" w:rsidR="00F81FBC" w:rsidRDefault="00F81FBC" w:rsidP="002F28FB">
      <w:pPr>
        <w:jc w:val="both"/>
        <w:rPr>
          <w:rFonts w:ascii="Arial" w:hAnsi="Arial" w:cs="Arial"/>
          <w:color w:val="000000"/>
          <w:sz w:val="22"/>
          <w:szCs w:val="22"/>
        </w:rPr>
      </w:pPr>
    </w:p>
    <w:p w14:paraId="3BD3DF1F" w14:textId="6F434273" w:rsidR="00DC2E86" w:rsidRPr="005B0CD9" w:rsidRDefault="002F28FB" w:rsidP="003A14DB">
      <w:pPr>
        <w:pStyle w:val="1BODY-Arial11"/>
        <w:rPr>
          <w:b/>
          <w:bCs/>
        </w:rPr>
      </w:pPr>
      <w:r w:rsidRPr="002F28FB">
        <w:t xml:space="preserve">Pre-award costs are those incurred by the Grant Recipient prior to the </w:t>
      </w:r>
      <w:r w:rsidR="00C74C3A">
        <w:t>agreement</w:t>
      </w:r>
      <w:r w:rsidR="00C74C3A" w:rsidRPr="00B56F73">
        <w:t xml:space="preserve"> </w:t>
      </w:r>
      <w:r w:rsidR="00463E38">
        <w:t xml:space="preserve">start </w:t>
      </w:r>
      <w:r w:rsidRPr="002F28FB">
        <w:t xml:space="preserve">date of the TxCDBG grant award directly pursuant to the negotiation and in anticipation of the TxCDBG grant award, where such costs are necessary to comply with the proposed delivery schedule or period of performance. Such costs are allowable only to the extent that they would have been allowable if incurred after the </w:t>
      </w:r>
      <w:r w:rsidR="00C74C3A">
        <w:t>agreement</w:t>
      </w:r>
      <w:r w:rsidR="00C74C3A" w:rsidRPr="00B56F73">
        <w:t xml:space="preserve"> </w:t>
      </w:r>
      <w:r w:rsidR="00463E38">
        <w:t xml:space="preserve">start </w:t>
      </w:r>
      <w:r w:rsidRPr="002F28FB">
        <w:t xml:space="preserve">date of the TxCDBG award and only with the written approval of TDA. </w:t>
      </w:r>
      <w:r w:rsidR="005B0CD9" w:rsidRPr="005B0CD9">
        <w:rPr>
          <w:b/>
          <w:bCs/>
        </w:rPr>
        <w:t xml:space="preserve">All existing grant rules apply to </w:t>
      </w:r>
      <w:r w:rsidR="006220E4">
        <w:rPr>
          <w:b/>
          <w:bCs/>
        </w:rPr>
        <w:t xml:space="preserve">the </w:t>
      </w:r>
      <w:r w:rsidR="005B0CD9" w:rsidRPr="005B0CD9">
        <w:rPr>
          <w:b/>
          <w:bCs/>
        </w:rPr>
        <w:t>pre-agreement</w:t>
      </w:r>
      <w:r w:rsidR="00E51341">
        <w:rPr>
          <w:b/>
          <w:bCs/>
        </w:rPr>
        <w:t xml:space="preserve"> </w:t>
      </w:r>
      <w:r w:rsidR="006220E4">
        <w:rPr>
          <w:b/>
          <w:bCs/>
        </w:rPr>
        <w:t>period</w:t>
      </w:r>
      <w:r w:rsidR="005B0CD9" w:rsidRPr="005B0CD9">
        <w:rPr>
          <w:b/>
          <w:bCs/>
        </w:rPr>
        <w:t>.</w:t>
      </w:r>
    </w:p>
    <w:p w14:paraId="4A238C4A" w14:textId="77777777" w:rsidR="008445FE" w:rsidRDefault="008445FE" w:rsidP="003A14DB">
      <w:pPr>
        <w:pStyle w:val="1BODY-Arial11"/>
      </w:pPr>
    </w:p>
    <w:p w14:paraId="50C9DF87" w14:textId="2AE41216" w:rsidR="002F28FB" w:rsidRDefault="00F16203" w:rsidP="003A14DB">
      <w:pPr>
        <w:pStyle w:val="1BODY-Arial11"/>
        <w:rPr>
          <w:color w:val="000000" w:themeColor="text1"/>
        </w:rPr>
      </w:pPr>
      <w:r>
        <w:t>When preparing the grant application, t</w:t>
      </w:r>
      <w:r w:rsidR="002F28FB" w:rsidRPr="002F28FB">
        <w:t xml:space="preserve">he Grant Recipient may request written approval to utilize the </w:t>
      </w:r>
      <w:r w:rsidR="00B741C5">
        <w:t>p</w:t>
      </w:r>
      <w:r w:rsidR="002F28FB" w:rsidRPr="002F28FB">
        <w:t>re-</w:t>
      </w:r>
      <w:r w:rsidR="00B741C5">
        <w:t>a</w:t>
      </w:r>
      <w:r w:rsidR="002F28FB" w:rsidRPr="002F28FB">
        <w:t xml:space="preserve">greement </w:t>
      </w:r>
      <w:r w:rsidR="00B741C5">
        <w:t>p</w:t>
      </w:r>
      <w:r w:rsidR="002F28FB" w:rsidRPr="002F28FB">
        <w:t xml:space="preserve">olicy </w:t>
      </w:r>
      <w:proofErr w:type="gramStart"/>
      <w:r w:rsidR="002F28FB" w:rsidRPr="002F28FB">
        <w:t>in order to</w:t>
      </w:r>
      <w:proofErr w:type="gramEnd"/>
      <w:r w:rsidR="002F28FB" w:rsidRPr="002F28FB">
        <w:t xml:space="preserve"> pursue early implementation of the project. TDA</w:t>
      </w:r>
      <w:r>
        <w:t xml:space="preserve"> will notify the Grant Recipient if</w:t>
      </w:r>
      <w:r w:rsidR="002F28FB" w:rsidRPr="002F28FB">
        <w:t xml:space="preserve">, in its sole discretion, </w:t>
      </w:r>
      <w:r>
        <w:t xml:space="preserve">the agency declines the pre-agreement request.  </w:t>
      </w:r>
      <w:r w:rsidR="000D4DC6" w:rsidRPr="00D54ADD">
        <w:rPr>
          <w:color w:val="000000" w:themeColor="text1"/>
        </w:rPr>
        <w:t>F</w:t>
      </w:r>
      <w:r w:rsidR="008445FE" w:rsidRPr="00D54ADD">
        <w:rPr>
          <w:color w:val="000000" w:themeColor="text1"/>
        </w:rPr>
        <w:t>und specific requirements and</w:t>
      </w:r>
      <w:r w:rsidR="002F28FB" w:rsidRPr="00D54ADD">
        <w:rPr>
          <w:color w:val="000000" w:themeColor="text1"/>
        </w:rPr>
        <w:t xml:space="preserve"> restrictions on the type of activities eligible as pre-a</w:t>
      </w:r>
      <w:r w:rsidR="00340CF0" w:rsidRPr="00D54ADD">
        <w:rPr>
          <w:color w:val="000000" w:themeColor="text1"/>
        </w:rPr>
        <w:t xml:space="preserve">greement costs </w:t>
      </w:r>
      <w:r w:rsidR="00C66489" w:rsidRPr="00D54ADD">
        <w:rPr>
          <w:color w:val="000000" w:themeColor="text1"/>
        </w:rPr>
        <w:t>are</w:t>
      </w:r>
      <w:r w:rsidR="00340CF0" w:rsidRPr="00D54ADD">
        <w:rPr>
          <w:color w:val="000000" w:themeColor="text1"/>
        </w:rPr>
        <w:t xml:space="preserve"> addressed</w:t>
      </w:r>
      <w:r w:rsidR="002F28FB" w:rsidRPr="00D54ADD">
        <w:rPr>
          <w:color w:val="000000" w:themeColor="text1"/>
        </w:rPr>
        <w:t xml:space="preserve"> in the grant application</w:t>
      </w:r>
      <w:r w:rsidR="000D4DC6" w:rsidRPr="00D54ADD">
        <w:rPr>
          <w:color w:val="000000" w:themeColor="text1"/>
        </w:rPr>
        <w:t xml:space="preserve"> </w:t>
      </w:r>
      <w:r w:rsidR="00377563" w:rsidRPr="00D54ADD">
        <w:rPr>
          <w:color w:val="000000" w:themeColor="text1"/>
        </w:rPr>
        <w:t>guidelines</w:t>
      </w:r>
      <w:r w:rsidR="002F28FB" w:rsidRPr="00D54ADD">
        <w:rPr>
          <w:color w:val="000000" w:themeColor="text1"/>
        </w:rPr>
        <w:t>.</w:t>
      </w:r>
    </w:p>
    <w:p w14:paraId="63736B85" w14:textId="766FE9A2" w:rsidR="00E51341" w:rsidRDefault="00F76605" w:rsidP="003A14DB">
      <w:pPr>
        <w:pStyle w:val="1BODY-Arial11"/>
        <w:rPr>
          <w:color w:val="000000" w:themeColor="text1"/>
        </w:rPr>
      </w:pPr>
      <w:r>
        <w:rPr>
          <w:noProof/>
          <w:color w:val="000000" w:themeColor="text1"/>
        </w:rPr>
        <mc:AlternateContent>
          <mc:Choice Requires="wps">
            <w:drawing>
              <wp:anchor distT="0" distB="0" distL="114300" distR="114300" simplePos="0" relativeHeight="251672576" behindDoc="0" locked="0" layoutInCell="1" allowOverlap="1" wp14:anchorId="3E62D87F" wp14:editId="31874E2C">
                <wp:simplePos x="0" y="0"/>
                <wp:positionH relativeFrom="column">
                  <wp:posOffset>-3237</wp:posOffset>
                </wp:positionH>
                <wp:positionV relativeFrom="paragraph">
                  <wp:posOffset>145931</wp:posOffset>
                </wp:positionV>
                <wp:extent cx="4813772" cy="3002915"/>
                <wp:effectExtent l="0" t="0" r="12700" b="6985"/>
                <wp:wrapNone/>
                <wp:docPr id="9" name="Rectangle 9"/>
                <wp:cNvGraphicFramePr/>
                <a:graphic xmlns:a="http://schemas.openxmlformats.org/drawingml/2006/main">
                  <a:graphicData uri="http://schemas.microsoft.com/office/word/2010/wordprocessingShape">
                    <wps:wsp>
                      <wps:cNvSpPr/>
                      <wps:spPr>
                        <a:xfrm>
                          <a:off x="0" y="0"/>
                          <a:ext cx="4813772" cy="3002915"/>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2C5347A" id="Rectangle 9" o:spid="_x0000_s1026" style="position:absolute;margin-left:-.25pt;margin-top:11.5pt;width:379.05pt;height:236.4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" filled="f" strokecolor="#243f60 [1604]" strokeweight="1pt"/>
            </w:pict>
          </mc:Fallback>
        </mc:AlternateContent>
      </w:r>
      <w:r w:rsidR="00E51341">
        <w:rPr>
          <w:noProof/>
          <w:color w:val="000000" w:themeColor="text1"/>
        </w:rPr>
        <w:drawing>
          <wp:anchor distT="0" distB="0" distL="114300" distR="114300" simplePos="0" relativeHeight="251658240" behindDoc="0" locked="0" layoutInCell="1" allowOverlap="1" wp14:anchorId="2539A8F3" wp14:editId="3E4709EE">
            <wp:simplePos x="0" y="0"/>
            <wp:positionH relativeFrom="column">
              <wp:posOffset>2127</wp:posOffset>
            </wp:positionH>
            <wp:positionV relativeFrom="paragraph">
              <wp:posOffset>145593</wp:posOffset>
            </wp:positionV>
            <wp:extent cx="4805916" cy="3003214"/>
            <wp:effectExtent l="0" t="0" r="0" b="0"/>
            <wp:wrapNone/>
            <wp:docPr id="4" name="Picture 4" descr="Graphical user interface, text, application, email,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 application, email, Teams&#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825966" cy="3015743"/>
                    </a:xfrm>
                    <a:prstGeom prst="rect">
                      <a:avLst/>
                    </a:prstGeom>
                  </pic:spPr>
                </pic:pic>
              </a:graphicData>
            </a:graphic>
            <wp14:sizeRelH relativeFrom="page">
              <wp14:pctWidth>0</wp14:pctWidth>
            </wp14:sizeRelH>
            <wp14:sizeRelV relativeFrom="page">
              <wp14:pctHeight>0</wp14:pctHeight>
            </wp14:sizeRelV>
          </wp:anchor>
        </w:drawing>
      </w:r>
    </w:p>
    <w:p w14:paraId="79AD3D20" w14:textId="61A8B5F0" w:rsidR="00E51341" w:rsidRDefault="00E51341" w:rsidP="003A14DB">
      <w:pPr>
        <w:pStyle w:val="1BODY-Arial11"/>
        <w:rPr>
          <w:color w:val="000000" w:themeColor="text1"/>
        </w:rPr>
      </w:pPr>
    </w:p>
    <w:p w14:paraId="038620CA" w14:textId="41CE76D9" w:rsidR="00E51341" w:rsidRDefault="00E51341" w:rsidP="003A14DB">
      <w:pPr>
        <w:pStyle w:val="1BODY-Arial11"/>
        <w:rPr>
          <w:color w:val="000000" w:themeColor="text1"/>
        </w:rPr>
      </w:pPr>
    </w:p>
    <w:p w14:paraId="031BF206" w14:textId="6220757E" w:rsidR="00E51341" w:rsidRDefault="00E51341" w:rsidP="003A14DB">
      <w:pPr>
        <w:pStyle w:val="1BODY-Arial11"/>
        <w:rPr>
          <w:color w:val="000000" w:themeColor="text1"/>
        </w:rPr>
      </w:pPr>
    </w:p>
    <w:p w14:paraId="12484E27" w14:textId="7AEADD72" w:rsidR="00E51341" w:rsidRDefault="00E51341" w:rsidP="003A14DB">
      <w:pPr>
        <w:pStyle w:val="1BODY-Arial11"/>
        <w:rPr>
          <w:color w:val="000000" w:themeColor="text1"/>
        </w:rPr>
      </w:pPr>
    </w:p>
    <w:p w14:paraId="1F3E4FDC" w14:textId="1F4183BD" w:rsidR="00E51341" w:rsidRDefault="00E51341" w:rsidP="003A14DB">
      <w:pPr>
        <w:pStyle w:val="1BODY-Arial11"/>
        <w:rPr>
          <w:color w:val="000000" w:themeColor="text1"/>
        </w:rPr>
      </w:pPr>
    </w:p>
    <w:p w14:paraId="3B5FC036" w14:textId="635DA085" w:rsidR="00E51341" w:rsidRDefault="00E51341" w:rsidP="003A14DB">
      <w:pPr>
        <w:pStyle w:val="1BODY-Arial11"/>
        <w:rPr>
          <w:color w:val="000000" w:themeColor="text1"/>
        </w:rPr>
      </w:pPr>
    </w:p>
    <w:p w14:paraId="19E40468" w14:textId="5B89C772" w:rsidR="00E51341" w:rsidRDefault="00E51341" w:rsidP="003A14DB">
      <w:pPr>
        <w:pStyle w:val="1BODY-Arial11"/>
        <w:rPr>
          <w:color w:val="000000" w:themeColor="text1"/>
        </w:rPr>
      </w:pPr>
    </w:p>
    <w:p w14:paraId="4FB54D0F" w14:textId="795A20D2" w:rsidR="00E51341" w:rsidRDefault="00E51341" w:rsidP="003A14DB">
      <w:pPr>
        <w:pStyle w:val="1BODY-Arial11"/>
        <w:rPr>
          <w:color w:val="000000" w:themeColor="text1"/>
        </w:rPr>
      </w:pPr>
    </w:p>
    <w:p w14:paraId="11AA1978" w14:textId="459FC9C4" w:rsidR="00E51341" w:rsidRDefault="00E51341" w:rsidP="003A14DB">
      <w:pPr>
        <w:pStyle w:val="1BODY-Arial11"/>
        <w:rPr>
          <w:color w:val="000000" w:themeColor="text1"/>
        </w:rPr>
      </w:pPr>
    </w:p>
    <w:p w14:paraId="1E0C2E62" w14:textId="545C38B2" w:rsidR="00E51341" w:rsidRDefault="00E51341" w:rsidP="003A14DB">
      <w:pPr>
        <w:pStyle w:val="1BODY-Arial11"/>
        <w:rPr>
          <w:color w:val="000000" w:themeColor="text1"/>
        </w:rPr>
      </w:pPr>
    </w:p>
    <w:p w14:paraId="70F7EF5C" w14:textId="46AF9268" w:rsidR="00E51341" w:rsidRDefault="004E16B5" w:rsidP="003A14DB">
      <w:pPr>
        <w:pStyle w:val="1BODY-Arial11"/>
        <w:rPr>
          <w:color w:val="000000" w:themeColor="text1"/>
        </w:rPr>
      </w:pPr>
      <w:r>
        <w:rPr>
          <w:noProof/>
          <w:color w:val="000000" w:themeColor="text1"/>
        </w:rPr>
        <mc:AlternateContent>
          <mc:Choice Requires="wps">
            <w:drawing>
              <wp:anchor distT="0" distB="0" distL="114300" distR="114300" simplePos="0" relativeHeight="251659264" behindDoc="0" locked="0" layoutInCell="1" allowOverlap="1" wp14:anchorId="589081B6" wp14:editId="7DDD063F">
                <wp:simplePos x="0" y="0"/>
                <wp:positionH relativeFrom="column">
                  <wp:posOffset>2355</wp:posOffset>
                </wp:positionH>
                <wp:positionV relativeFrom="paragraph">
                  <wp:posOffset>93340</wp:posOffset>
                </wp:positionV>
                <wp:extent cx="784892" cy="265814"/>
                <wp:effectExtent l="0" t="0" r="15240" b="13970"/>
                <wp:wrapNone/>
                <wp:docPr id="5" name="Rectangle 5"/>
                <wp:cNvGraphicFramePr/>
                <a:graphic xmlns:a="http://schemas.openxmlformats.org/drawingml/2006/main">
                  <a:graphicData uri="http://schemas.microsoft.com/office/word/2010/wordprocessingShape">
                    <wps:wsp>
                      <wps:cNvSpPr/>
                      <wps:spPr>
                        <a:xfrm>
                          <a:off x="0" y="0"/>
                          <a:ext cx="784892" cy="265814"/>
                        </a:xfrm>
                        <a:prstGeom prst="rect">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B2038BA" id="Rectangle 5" o:spid="_x0000_s1026" style="position:absolute;margin-left:.2pt;margin-top:7.35pt;width:61.8pt;height:20.9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" filled="f" strokecolor="red" strokeweight="1pt"/>
            </w:pict>
          </mc:Fallback>
        </mc:AlternateContent>
      </w:r>
    </w:p>
    <w:p w14:paraId="7AD98EA1" w14:textId="0741B9B1" w:rsidR="00E51341" w:rsidRDefault="00E51341" w:rsidP="003A14DB">
      <w:pPr>
        <w:pStyle w:val="1BODY-Arial11"/>
        <w:rPr>
          <w:color w:val="000000" w:themeColor="text1"/>
        </w:rPr>
      </w:pPr>
    </w:p>
    <w:p w14:paraId="7F7D70DF" w14:textId="0A601659" w:rsidR="00E51341" w:rsidRDefault="00E51341" w:rsidP="003A14DB">
      <w:pPr>
        <w:pStyle w:val="1BODY-Arial11"/>
        <w:rPr>
          <w:color w:val="000000" w:themeColor="text1"/>
        </w:rPr>
      </w:pPr>
    </w:p>
    <w:p w14:paraId="23460736" w14:textId="508F62E8" w:rsidR="00E51341" w:rsidRDefault="00E51341" w:rsidP="003A14DB">
      <w:pPr>
        <w:pStyle w:val="1BODY-Arial11"/>
        <w:rPr>
          <w:color w:val="000000" w:themeColor="text1"/>
        </w:rPr>
      </w:pPr>
    </w:p>
    <w:p w14:paraId="27D23247" w14:textId="45DF9905" w:rsidR="00E51341" w:rsidRDefault="00E51341" w:rsidP="003A14DB">
      <w:pPr>
        <w:pStyle w:val="1BODY-Arial11"/>
        <w:rPr>
          <w:color w:val="000000" w:themeColor="text1"/>
        </w:rPr>
      </w:pPr>
    </w:p>
    <w:p w14:paraId="2DFE3CBE" w14:textId="0D6D1C65" w:rsidR="00E51341" w:rsidRDefault="00E51341" w:rsidP="003A14DB">
      <w:pPr>
        <w:pStyle w:val="1BODY-Arial11"/>
        <w:rPr>
          <w:color w:val="000000" w:themeColor="text1"/>
        </w:rPr>
      </w:pPr>
    </w:p>
    <w:p w14:paraId="2DE6FA3A" w14:textId="77777777" w:rsidR="00E51341" w:rsidRPr="00D54ADD" w:rsidRDefault="00E51341" w:rsidP="003A14DB">
      <w:pPr>
        <w:pStyle w:val="1BODY-Arial11"/>
        <w:rPr>
          <w:color w:val="000000" w:themeColor="text1"/>
        </w:rPr>
      </w:pPr>
    </w:p>
    <w:p w14:paraId="6B91266A" w14:textId="0A96A27F" w:rsidR="002F28FB" w:rsidRDefault="00E51341" w:rsidP="003A14DB">
      <w:pPr>
        <w:pStyle w:val="1BODY-Arial11"/>
        <w:rPr>
          <w:b/>
          <w:bCs/>
          <w:i/>
          <w:iCs/>
          <w:color w:val="4472C4"/>
          <w:sz w:val="18"/>
          <w:szCs w:val="18"/>
        </w:rPr>
      </w:pPr>
      <w:r w:rsidRPr="00E25717">
        <w:rPr>
          <w:b/>
          <w:bCs/>
          <w:i/>
          <w:iCs/>
          <w:color w:val="4472C4"/>
          <w:sz w:val="18"/>
          <w:szCs w:val="18"/>
        </w:rPr>
        <w:t>Figure 1. Pre-Agreement Strategy signature page</w:t>
      </w:r>
    </w:p>
    <w:p w14:paraId="4FE4A712" w14:textId="77777777" w:rsidR="00997D7D" w:rsidRPr="00E25717" w:rsidRDefault="00997D7D" w:rsidP="003A14DB">
      <w:pPr>
        <w:pStyle w:val="1BODY-Arial11"/>
        <w:rPr>
          <w:b/>
          <w:bCs/>
          <w:i/>
          <w:iCs/>
          <w:color w:val="4472C4"/>
          <w:sz w:val="18"/>
          <w:szCs w:val="18"/>
        </w:rPr>
      </w:pPr>
    </w:p>
    <w:p w14:paraId="648FD267" w14:textId="77777777" w:rsidR="00330486" w:rsidRDefault="00330486" w:rsidP="003A14DB">
      <w:pPr>
        <w:pStyle w:val="1BODY-Arial11"/>
        <w:rPr>
          <w:color w:val="000000" w:themeColor="text1"/>
        </w:rPr>
      </w:pPr>
    </w:p>
    <w:p w14:paraId="3A7BB1AF" w14:textId="0E3A104B" w:rsidR="00C66489" w:rsidRPr="00D54ADD" w:rsidRDefault="00FE3D82" w:rsidP="003A14DB">
      <w:pPr>
        <w:pStyle w:val="1BODY-Arial11"/>
        <w:rPr>
          <w:color w:val="000000" w:themeColor="text1"/>
        </w:rPr>
      </w:pPr>
      <w:r w:rsidRPr="00D54ADD">
        <w:rPr>
          <w:color w:val="000000" w:themeColor="text1"/>
        </w:rPr>
        <w:lastRenderedPageBreak/>
        <w:t>To</w:t>
      </w:r>
      <w:r w:rsidR="00C66489" w:rsidRPr="00D54ADD">
        <w:rPr>
          <w:color w:val="000000" w:themeColor="text1"/>
        </w:rPr>
        <w:t xml:space="preserve"> be </w:t>
      </w:r>
      <w:r w:rsidR="00B86281" w:rsidRPr="00D54ADD">
        <w:rPr>
          <w:color w:val="000000" w:themeColor="text1"/>
        </w:rPr>
        <w:t xml:space="preserve">eligible for TxCDBG </w:t>
      </w:r>
      <w:r w:rsidR="00284FDF" w:rsidRPr="00D54ADD">
        <w:rPr>
          <w:color w:val="000000" w:themeColor="text1"/>
        </w:rPr>
        <w:t xml:space="preserve">grant </w:t>
      </w:r>
      <w:r w:rsidR="00B86281" w:rsidRPr="00D54ADD">
        <w:rPr>
          <w:color w:val="000000" w:themeColor="text1"/>
        </w:rPr>
        <w:t>funding or</w:t>
      </w:r>
      <w:r w:rsidR="00C66489" w:rsidRPr="00D54ADD">
        <w:rPr>
          <w:color w:val="000000" w:themeColor="text1"/>
        </w:rPr>
        <w:t xml:space="preserve"> match funding</w:t>
      </w:r>
      <w:r w:rsidR="00B86281" w:rsidRPr="00D54ADD">
        <w:rPr>
          <w:color w:val="000000" w:themeColor="text1"/>
        </w:rPr>
        <w:t>, or both</w:t>
      </w:r>
      <w:r w:rsidR="00C66489" w:rsidRPr="00D54ADD">
        <w:rPr>
          <w:color w:val="000000" w:themeColor="text1"/>
        </w:rPr>
        <w:t xml:space="preserve">, costs incurred during the </w:t>
      </w:r>
      <w:r w:rsidR="00C66489" w:rsidRPr="00D54ADD">
        <w:rPr>
          <w:color w:val="000000" w:themeColor="text1"/>
        </w:rPr>
        <w:br/>
        <w:t>pre-agreement phase must be incurred</w:t>
      </w:r>
    </w:p>
    <w:p w14:paraId="365C661C" w14:textId="12A426DC" w:rsidR="00C66489" w:rsidRPr="00B741C5" w:rsidRDefault="00994C48" w:rsidP="00BB18DA">
      <w:pPr>
        <w:pStyle w:val="3BULLETarial11"/>
      </w:pPr>
      <w:r>
        <w:t xml:space="preserve">On or </w:t>
      </w:r>
      <w:r w:rsidR="00267E42">
        <w:t>af</w:t>
      </w:r>
      <w:r w:rsidR="00C66489" w:rsidRPr="00B741C5">
        <w:t>ter the TDA pre-agreement date</w:t>
      </w:r>
      <w:r w:rsidR="00502B4A">
        <w:t xml:space="preserve"> – A</w:t>
      </w:r>
      <w:r w:rsidR="00B86281" w:rsidRPr="00B741C5">
        <w:t>pplication due date</w:t>
      </w:r>
      <w:r w:rsidR="00565B71" w:rsidRPr="00B741C5">
        <w:t xml:space="preserve"> or other date specific to the funding </w:t>
      </w:r>
      <w:proofErr w:type="gramStart"/>
      <w:r w:rsidR="00565B71" w:rsidRPr="00B741C5">
        <w:t>category</w:t>
      </w:r>
      <w:r w:rsidR="00C66489" w:rsidRPr="00B741C5">
        <w:t>;</w:t>
      </w:r>
      <w:proofErr w:type="gramEnd"/>
    </w:p>
    <w:p w14:paraId="11C60A5B" w14:textId="0912920E" w:rsidR="00C66489" w:rsidRPr="00B741C5" w:rsidRDefault="00994C48" w:rsidP="00BB18DA">
      <w:pPr>
        <w:pStyle w:val="3BULLETarial11"/>
      </w:pPr>
      <w:r>
        <w:t xml:space="preserve">On or </w:t>
      </w:r>
      <w:r w:rsidR="00267E42">
        <w:t>a</w:t>
      </w:r>
      <w:r w:rsidR="00C66489" w:rsidRPr="00B741C5">
        <w:t xml:space="preserve">fter the administrative/engineering services </w:t>
      </w:r>
      <w:r w:rsidR="00F564E3" w:rsidRPr="00B56F73">
        <w:t xml:space="preserve">contract </w:t>
      </w:r>
      <w:r w:rsidR="00C66489" w:rsidRPr="00B741C5">
        <w:t>award date</w:t>
      </w:r>
      <w:r w:rsidR="00502B4A">
        <w:t xml:space="preserve"> – </w:t>
      </w:r>
      <w:r w:rsidR="00F564E3">
        <w:t>f</w:t>
      </w:r>
      <w:r w:rsidR="00C66489" w:rsidRPr="00B741C5">
        <w:t>ormal approval by elected body</w:t>
      </w:r>
      <w:r w:rsidR="00502B4A">
        <w:t xml:space="preserve">; </w:t>
      </w:r>
      <w:r w:rsidR="00502B4A" w:rsidRPr="00502B4A">
        <w:rPr>
          <w:b/>
          <w:bCs/>
        </w:rPr>
        <w:t>and</w:t>
      </w:r>
    </w:p>
    <w:p w14:paraId="7587F1CA" w14:textId="576469C5" w:rsidR="00C66489" w:rsidRPr="00B741C5" w:rsidRDefault="00267E42" w:rsidP="00BB18DA">
      <w:pPr>
        <w:pStyle w:val="3BULLETarial11"/>
      </w:pPr>
      <w:r>
        <w:t>d</w:t>
      </w:r>
      <w:r w:rsidR="00C66489" w:rsidRPr="00B741C5">
        <w:t xml:space="preserve">uring the </w:t>
      </w:r>
      <w:r w:rsidR="00F564E3" w:rsidRPr="00B56F73">
        <w:t xml:space="preserve">contract </w:t>
      </w:r>
      <w:r w:rsidR="00C66489" w:rsidRPr="00B741C5">
        <w:t xml:space="preserve">period identified in the administrative/engineering services </w:t>
      </w:r>
      <w:r w:rsidR="00F564E3" w:rsidRPr="00B56F73">
        <w:t>contract</w:t>
      </w:r>
      <w:r w:rsidR="00502B4A">
        <w:t xml:space="preserve">, </w:t>
      </w:r>
      <w:r w:rsidR="00502B4A" w:rsidRPr="00F564E3">
        <w:t xml:space="preserve">i.e., </w:t>
      </w:r>
      <w:r w:rsidR="00502B4A" w:rsidRPr="00F564E3">
        <w:rPr>
          <w:b/>
          <w:bCs/>
        </w:rPr>
        <w:t>T</w:t>
      </w:r>
      <w:r w:rsidR="00C66489" w:rsidRPr="00F564E3">
        <w:rPr>
          <w:b/>
          <w:bCs/>
        </w:rPr>
        <w:t>ime of Performance</w:t>
      </w:r>
      <w:r w:rsidR="00502B4A" w:rsidRPr="00F564E3">
        <w:t xml:space="preserve"> </w:t>
      </w:r>
      <w:r w:rsidR="00C66489" w:rsidRPr="00F564E3">
        <w:t xml:space="preserve">in the </w:t>
      </w:r>
      <w:r w:rsidR="00502B4A" w:rsidRPr="00F564E3">
        <w:t>i</w:t>
      </w:r>
      <w:r w:rsidR="00C66489" w:rsidRPr="00F564E3">
        <w:t xml:space="preserve">mplementation </w:t>
      </w:r>
      <w:r w:rsidR="00502B4A" w:rsidRPr="00F564E3">
        <w:t>m</w:t>
      </w:r>
      <w:r w:rsidR="00C66489" w:rsidRPr="00F564E3">
        <w:t xml:space="preserve">anual </w:t>
      </w:r>
      <w:r w:rsidR="00C66489" w:rsidRPr="00F564E3">
        <w:rPr>
          <w:i/>
          <w:iCs/>
        </w:rPr>
        <w:t>Appendix D</w:t>
      </w:r>
      <w:r w:rsidR="00B86281" w:rsidRPr="00F564E3">
        <w:rPr>
          <w:i/>
          <w:iCs/>
        </w:rPr>
        <w:t xml:space="preserve"> </w:t>
      </w:r>
      <w:r w:rsidR="00B86281" w:rsidRPr="00F564E3">
        <w:t>and</w:t>
      </w:r>
      <w:r w:rsidR="00B86281" w:rsidRPr="00F564E3">
        <w:rPr>
          <w:i/>
          <w:iCs/>
        </w:rPr>
        <w:t xml:space="preserve"> E</w:t>
      </w:r>
      <w:r w:rsidR="00C66489" w:rsidRPr="00F564E3">
        <w:t xml:space="preserve">, </w:t>
      </w:r>
      <w:r w:rsidR="004F435B" w:rsidRPr="00F564E3">
        <w:rPr>
          <w:i/>
          <w:iCs/>
        </w:rPr>
        <w:t>S</w:t>
      </w:r>
      <w:r w:rsidR="00C66489" w:rsidRPr="00F564E3">
        <w:rPr>
          <w:i/>
          <w:iCs/>
        </w:rPr>
        <w:t xml:space="preserve">ample </w:t>
      </w:r>
      <w:r w:rsidR="004F435B" w:rsidRPr="00F564E3">
        <w:rPr>
          <w:i/>
          <w:iCs/>
        </w:rPr>
        <w:t>C</w:t>
      </w:r>
      <w:r w:rsidR="00C66489" w:rsidRPr="00F564E3">
        <w:rPr>
          <w:i/>
          <w:iCs/>
        </w:rPr>
        <w:t>ontract</w:t>
      </w:r>
      <w:r w:rsidR="005546C1" w:rsidRPr="00F564E3">
        <w:t>—</w:t>
      </w:r>
      <w:r w:rsidR="00C66489" w:rsidRPr="00F564E3">
        <w:t xml:space="preserve">the services </w:t>
      </w:r>
      <w:r w:rsidR="00F564E3" w:rsidRPr="00B56F73">
        <w:t xml:space="preserve">contract </w:t>
      </w:r>
      <w:r w:rsidR="00C66489" w:rsidRPr="00F564E3">
        <w:t xml:space="preserve">period may begin prior to the date that the services </w:t>
      </w:r>
      <w:r w:rsidR="00F564E3" w:rsidRPr="00B56F73">
        <w:t xml:space="preserve">contract </w:t>
      </w:r>
      <w:r w:rsidR="00C66489" w:rsidRPr="00F564E3">
        <w:t>was executed.</w:t>
      </w:r>
    </w:p>
    <w:p w14:paraId="7B53BD14" w14:textId="77777777" w:rsidR="00C66489" w:rsidRPr="000A4A1E" w:rsidRDefault="00C66489" w:rsidP="002F28FB">
      <w:pPr>
        <w:jc w:val="both"/>
        <w:rPr>
          <w:rFonts w:ascii="Arial" w:hAnsi="Arial" w:cs="Arial"/>
          <w:sz w:val="22"/>
          <w:szCs w:val="22"/>
        </w:rPr>
      </w:pPr>
    </w:p>
    <w:p w14:paraId="6DC1731B" w14:textId="11EA3B94" w:rsidR="00502B4A" w:rsidRDefault="002F28FB" w:rsidP="00502B4A">
      <w:pPr>
        <w:pStyle w:val="1BODY-Arial11"/>
      </w:pPr>
      <w:r w:rsidRPr="002F28FB">
        <w:t>TDA will allow the Grant Recipient to incur costs for CDBG activiti</w:t>
      </w:r>
      <w:r w:rsidR="00B35955">
        <w:t xml:space="preserve">es before the TxCDBG </w:t>
      </w:r>
      <w:r w:rsidR="00C74C3A">
        <w:t>agreement</w:t>
      </w:r>
      <w:r w:rsidR="00C74C3A" w:rsidRPr="00B56F73">
        <w:t xml:space="preserve"> </w:t>
      </w:r>
      <w:r w:rsidR="00B35955">
        <w:t>start date</w:t>
      </w:r>
      <w:r w:rsidRPr="002F28FB">
        <w:t xml:space="preserve"> and to charge these pre-agreement costs to the grant, provided that the activities are eligible costs, meet the objectives of the program, and are authorized pursuant to applicable state and/or federal law. </w:t>
      </w:r>
    </w:p>
    <w:p w14:paraId="7816EC19" w14:textId="554C9A0B" w:rsidR="002F28FB" w:rsidRDefault="002F28FB" w:rsidP="00502B4A">
      <w:pPr>
        <w:pStyle w:val="1BODY-Arial11"/>
      </w:pPr>
    </w:p>
    <w:p w14:paraId="226C7E35" w14:textId="2762CEEA" w:rsidR="002F28FB" w:rsidRPr="002F28FB" w:rsidRDefault="002F28FB" w:rsidP="00502B4A">
      <w:pPr>
        <w:pStyle w:val="1BODY-Arial11"/>
      </w:pPr>
      <w:r w:rsidRPr="002F28FB">
        <w:t xml:space="preserve">The Grant Recipient may not incur costs or expend any </w:t>
      </w:r>
      <w:r w:rsidR="00F16203">
        <w:t>project</w:t>
      </w:r>
      <w:r w:rsidR="00F16203" w:rsidRPr="002F28FB">
        <w:t xml:space="preserve"> </w:t>
      </w:r>
      <w:r w:rsidRPr="002F28FB">
        <w:t>funds for construction prior to</w:t>
      </w:r>
    </w:p>
    <w:p w14:paraId="37328C4C" w14:textId="14A8A3DA" w:rsidR="002F28FB" w:rsidRPr="008F556E" w:rsidRDefault="00502B4A" w:rsidP="00BB18DA">
      <w:pPr>
        <w:pStyle w:val="3BULLETarial11"/>
      </w:pPr>
      <w:r>
        <w:t>m</w:t>
      </w:r>
      <w:r w:rsidR="002F28FB" w:rsidRPr="008F556E">
        <w:t>eeting the Environmental Review requirements</w:t>
      </w:r>
      <w:r w:rsidR="002F6910" w:rsidRPr="008F556E">
        <w:t xml:space="preserve"> in </w:t>
      </w:r>
      <w:r w:rsidR="002F28FB" w:rsidRPr="008F556E">
        <w:t xml:space="preserve">the TxCDBG </w:t>
      </w:r>
      <w:r w:rsidR="00F16203">
        <w:t>agreeme</w:t>
      </w:r>
      <w:r w:rsidR="00C74C3A">
        <w:t>n</w:t>
      </w:r>
      <w:r w:rsidR="00F16203">
        <w:t>t</w:t>
      </w:r>
      <w:r w:rsidR="00F16203" w:rsidRPr="008F556E">
        <w:t xml:space="preserve"> </w:t>
      </w:r>
      <w:r w:rsidR="002F28FB" w:rsidRPr="008F556E">
        <w:t xml:space="preserve">(see </w:t>
      </w:r>
      <w:r w:rsidR="002F28FB" w:rsidRPr="00745B9E">
        <w:rPr>
          <w:i/>
          <w:iCs/>
        </w:rPr>
        <w:t>Chapter 3);</w:t>
      </w:r>
      <w:r w:rsidR="002F28FB" w:rsidRPr="008F556E">
        <w:t xml:space="preserve"> and </w:t>
      </w:r>
    </w:p>
    <w:p w14:paraId="293D1FAB" w14:textId="24A2A88E" w:rsidR="002F28FB" w:rsidRDefault="00502B4A" w:rsidP="00BB18DA">
      <w:pPr>
        <w:pStyle w:val="3BULLETarial11"/>
      </w:pPr>
      <w:r>
        <w:t>m</w:t>
      </w:r>
      <w:r w:rsidR="002F28FB" w:rsidRPr="008F556E">
        <w:t xml:space="preserve">eeting all special condition requirements in </w:t>
      </w:r>
      <w:r w:rsidR="002F6910" w:rsidRPr="00F76605">
        <w:rPr>
          <w:i/>
          <w:iCs/>
        </w:rPr>
        <w:t xml:space="preserve">Exhibit </w:t>
      </w:r>
      <w:r w:rsidR="000F3B00" w:rsidRPr="00F76605">
        <w:rPr>
          <w:i/>
          <w:iCs/>
        </w:rPr>
        <w:t>D</w:t>
      </w:r>
      <w:r w:rsidR="000F3B00" w:rsidRPr="008F556E">
        <w:t xml:space="preserve"> of</w:t>
      </w:r>
      <w:r w:rsidR="002F28FB" w:rsidRPr="008F556E">
        <w:t xml:space="preserve"> the TxCDBG </w:t>
      </w:r>
      <w:r w:rsidR="00F16203">
        <w:t>agreement</w:t>
      </w:r>
      <w:r w:rsidR="00F16203" w:rsidRPr="008F556E">
        <w:t xml:space="preserve"> </w:t>
      </w:r>
      <w:r w:rsidR="002F28FB" w:rsidRPr="008F556E">
        <w:t>that are required to release construction funds</w:t>
      </w:r>
      <w:r>
        <w:t>. S</w:t>
      </w:r>
      <w:r w:rsidR="002F28FB" w:rsidRPr="008F556E">
        <w:t xml:space="preserve">ee </w:t>
      </w:r>
      <w:r w:rsidR="002F28FB" w:rsidRPr="00D6663A">
        <w:rPr>
          <w:i/>
          <w:iCs/>
        </w:rPr>
        <w:t>Chapter 4</w:t>
      </w:r>
      <w:r w:rsidRPr="00D6663A">
        <w:rPr>
          <w:i/>
          <w:iCs/>
        </w:rPr>
        <w:t>.</w:t>
      </w:r>
      <w:r w:rsidR="002F28FB" w:rsidRPr="008F556E">
        <w:t xml:space="preserve"> </w:t>
      </w:r>
    </w:p>
    <w:p w14:paraId="28F4B7B8" w14:textId="51B1316C" w:rsidR="00C60DEE" w:rsidRDefault="00C60DEE" w:rsidP="000B7512">
      <w:pPr>
        <w:pStyle w:val="BoxText"/>
        <w:tabs>
          <w:tab w:val="clear" w:pos="3092"/>
        </w:tabs>
        <w:spacing w:after="0"/>
        <w:jc w:val="both"/>
        <w:rPr>
          <w:rFonts w:ascii="Arial" w:hAnsi="Arial" w:cs="Arial"/>
          <w:szCs w:val="22"/>
        </w:rPr>
      </w:pPr>
    </w:p>
    <w:p w14:paraId="4C6FC9C6" w14:textId="3154DE09" w:rsidR="00A3495F" w:rsidRPr="00A3495F" w:rsidRDefault="00A3495F" w:rsidP="00A3495F"/>
    <w:p w14:paraId="4F38C417" w14:textId="0F291892" w:rsidR="00E604F2" w:rsidRPr="00D94721" w:rsidRDefault="00414B6E" w:rsidP="00A450A6">
      <w:pPr>
        <w:pStyle w:val="4ArialBold14"/>
      </w:pPr>
      <w:bookmarkStart w:id="11" w:name="_Toc97737597"/>
      <w:r w:rsidRPr="00D94721">
        <w:t>1.1.2</w:t>
      </w:r>
      <w:r w:rsidR="0032154C" w:rsidRPr="00D94721">
        <w:t xml:space="preserve"> </w:t>
      </w:r>
      <w:r w:rsidR="006E44C2">
        <w:t xml:space="preserve">Grant </w:t>
      </w:r>
      <w:r w:rsidR="00C74C3A">
        <w:t>Agreement</w:t>
      </w:r>
      <w:r w:rsidR="00C74C3A" w:rsidRPr="00D94721">
        <w:t xml:space="preserve"> </w:t>
      </w:r>
      <w:r w:rsidR="0032154C" w:rsidRPr="00D94721">
        <w:t>Execution</w:t>
      </w:r>
      <w:bookmarkEnd w:id="11"/>
      <w:r w:rsidR="0032154C" w:rsidRPr="00D94721">
        <w:t xml:space="preserve"> </w:t>
      </w:r>
    </w:p>
    <w:p w14:paraId="36792E36" w14:textId="0AD3A1CE" w:rsidR="00334B62" w:rsidRPr="00F33478" w:rsidRDefault="00334B62" w:rsidP="00502B4A">
      <w:pPr>
        <w:pStyle w:val="1BODY-Arial11"/>
      </w:pPr>
    </w:p>
    <w:p w14:paraId="61EEA9B4" w14:textId="78927408" w:rsidR="00334B62" w:rsidRPr="00F33478" w:rsidRDefault="00DF6F6A" w:rsidP="00502B4A">
      <w:pPr>
        <w:pStyle w:val="1BODY-Arial11"/>
      </w:pPr>
      <w:r>
        <w:t xml:space="preserve">In addition to </w:t>
      </w:r>
      <w:r w:rsidR="002F6910" w:rsidRPr="00F33478">
        <w:t xml:space="preserve">the </w:t>
      </w:r>
      <w:r w:rsidR="0044656A" w:rsidRPr="00F33478">
        <w:t xml:space="preserve">contractual </w:t>
      </w:r>
      <w:r w:rsidR="002F6910" w:rsidRPr="00F33478">
        <w:t xml:space="preserve">obligations </w:t>
      </w:r>
      <w:r w:rsidR="00334B62" w:rsidRPr="00F33478">
        <w:t>between</w:t>
      </w:r>
      <w:r w:rsidR="002F6910" w:rsidRPr="00F33478">
        <w:t xml:space="preserve"> the </w:t>
      </w:r>
      <w:r w:rsidR="00CF70EB">
        <w:t>s</w:t>
      </w:r>
      <w:r w:rsidR="002F6910" w:rsidRPr="00F33478">
        <w:t xml:space="preserve">tate </w:t>
      </w:r>
      <w:r w:rsidR="00334B62" w:rsidRPr="00F33478">
        <w:t xml:space="preserve">and </w:t>
      </w:r>
      <w:r w:rsidR="002F6910" w:rsidRPr="00F33478">
        <w:t xml:space="preserve">the Grant Recipient, the </w:t>
      </w:r>
      <w:r w:rsidR="006220E4">
        <w:t>Agreement</w:t>
      </w:r>
      <w:r w:rsidR="006220E4" w:rsidRPr="00F33478">
        <w:t xml:space="preserve"> </w:t>
      </w:r>
      <w:r w:rsidR="002F6910" w:rsidRPr="00F33478">
        <w:t xml:space="preserve">specifies the </w:t>
      </w:r>
      <w:r w:rsidR="00334B62" w:rsidRPr="00F33478">
        <w:t>following</w:t>
      </w:r>
      <w:r w:rsidR="0044656A" w:rsidRPr="00F33478">
        <w:t xml:space="preserve"> as Exhibits</w:t>
      </w:r>
      <w:r w:rsidR="00334B62" w:rsidRPr="00F33478">
        <w:t>:</w:t>
      </w:r>
    </w:p>
    <w:p w14:paraId="314BDBC1" w14:textId="622F2D88" w:rsidR="006220E4" w:rsidRPr="00F76605" w:rsidRDefault="00334B62" w:rsidP="00BB18DA">
      <w:pPr>
        <w:pStyle w:val="3BULLETarial11"/>
        <w:rPr>
          <w:i/>
          <w:iCs/>
        </w:rPr>
      </w:pPr>
      <w:r w:rsidRPr="00F76605">
        <w:rPr>
          <w:b/>
          <w:bCs/>
          <w:i/>
          <w:iCs/>
        </w:rPr>
        <w:t>Exhibit A</w:t>
      </w:r>
      <w:r w:rsidR="00502B4A" w:rsidRPr="00F76605">
        <w:rPr>
          <w:i/>
          <w:iCs/>
        </w:rPr>
        <w:t xml:space="preserve"> – </w:t>
      </w:r>
      <w:r w:rsidR="000C1904" w:rsidRPr="00F76605">
        <w:rPr>
          <w:b/>
          <w:bCs/>
          <w:i/>
          <w:iCs/>
        </w:rPr>
        <w:t>Performance Plan and Specific Award Conditions</w:t>
      </w:r>
    </w:p>
    <w:p w14:paraId="1BF1414C" w14:textId="54188CF7" w:rsidR="008D4E7C" w:rsidRDefault="006220E4" w:rsidP="00147968">
      <w:pPr>
        <w:pStyle w:val="3BULLETarial11"/>
        <w:numPr>
          <w:ilvl w:val="0"/>
          <w:numId w:val="0"/>
        </w:numPr>
        <w:ind w:left="1080"/>
      </w:pPr>
      <w:r>
        <w:rPr>
          <w:b/>
          <w:bCs/>
        </w:rPr>
        <w:t xml:space="preserve">Section A </w:t>
      </w:r>
      <w:r w:rsidR="000C1904">
        <w:rPr>
          <w:b/>
          <w:bCs/>
        </w:rPr>
        <w:t>Eligible Uses of Funds</w:t>
      </w:r>
      <w:r w:rsidR="00147968">
        <w:t xml:space="preserve"> – </w:t>
      </w:r>
      <w:r w:rsidR="00502B4A">
        <w:t>The</w:t>
      </w:r>
      <w:r w:rsidR="00334B62" w:rsidRPr="00502B4A">
        <w:t xml:space="preserve"> Performance Statement </w:t>
      </w:r>
      <w:r w:rsidR="00CF70EB">
        <w:t>o</w:t>
      </w:r>
      <w:r w:rsidR="00B16FFB" w:rsidRPr="00502B4A">
        <w:t>utlines t</w:t>
      </w:r>
      <w:r w:rsidR="003545CC" w:rsidRPr="00502B4A">
        <w:t xml:space="preserve">he scope of the work to be performed under this </w:t>
      </w:r>
      <w:r w:rsidR="00C74C3A">
        <w:t>agreement</w:t>
      </w:r>
      <w:r w:rsidR="00C74C3A" w:rsidRPr="00B56F73">
        <w:t xml:space="preserve"> </w:t>
      </w:r>
      <w:r w:rsidR="003545CC" w:rsidRPr="00502B4A">
        <w:t xml:space="preserve">by </w:t>
      </w:r>
      <w:proofErr w:type="gramStart"/>
      <w:r w:rsidR="003545CC" w:rsidRPr="00502B4A">
        <w:t>activit</w:t>
      </w:r>
      <w:r w:rsidR="00334B62" w:rsidRPr="00502B4A">
        <w:t>y;</w:t>
      </w:r>
      <w:proofErr w:type="gramEnd"/>
      <w:r w:rsidR="00334B62" w:rsidRPr="00502B4A">
        <w:t xml:space="preserve"> </w:t>
      </w:r>
    </w:p>
    <w:p w14:paraId="622658AC" w14:textId="2C83BF69" w:rsidR="000C1904" w:rsidRPr="00E8669D" w:rsidRDefault="000C1904" w:rsidP="00147968">
      <w:pPr>
        <w:pStyle w:val="3BULLETarial11"/>
        <w:numPr>
          <w:ilvl w:val="0"/>
          <w:numId w:val="0"/>
        </w:numPr>
        <w:ind w:left="1080"/>
      </w:pPr>
      <w:r>
        <w:rPr>
          <w:b/>
          <w:bCs/>
        </w:rPr>
        <w:t>Section B Prohibited Activities</w:t>
      </w:r>
      <w:r w:rsidR="00147968">
        <w:t xml:space="preserve"> – </w:t>
      </w:r>
      <w:r w:rsidRPr="000C1904">
        <w:t xml:space="preserve">This standard </w:t>
      </w:r>
      <w:r w:rsidRPr="00E8669D">
        <w:t xml:space="preserve">clause reflects activities </w:t>
      </w:r>
      <w:r w:rsidR="00E8669D" w:rsidRPr="00E8669D">
        <w:t xml:space="preserve">that cannot be funded through TDA </w:t>
      </w:r>
      <w:proofErr w:type="gramStart"/>
      <w:r w:rsidR="00E8669D" w:rsidRPr="00E8669D">
        <w:t>grants;</w:t>
      </w:r>
      <w:proofErr w:type="gramEnd"/>
    </w:p>
    <w:p w14:paraId="6331D3B3" w14:textId="6AF8AF49" w:rsidR="006220E4" w:rsidRDefault="006220E4" w:rsidP="00FE3D82">
      <w:pPr>
        <w:pStyle w:val="3BULLETarial11"/>
        <w:numPr>
          <w:ilvl w:val="0"/>
          <w:numId w:val="0"/>
        </w:numPr>
        <w:ind w:left="1080"/>
      </w:pPr>
      <w:r>
        <w:rPr>
          <w:b/>
          <w:bCs/>
        </w:rPr>
        <w:t>Section C</w:t>
      </w:r>
      <w:r w:rsidR="000C1904">
        <w:rPr>
          <w:b/>
          <w:bCs/>
        </w:rPr>
        <w:t xml:space="preserve"> Timeline</w:t>
      </w:r>
      <w:r w:rsidR="00147968">
        <w:t xml:space="preserve"> – </w:t>
      </w:r>
      <w:r w:rsidR="000C1904">
        <w:t xml:space="preserve">The Timeline identifies key dates for the grant agreement period.  Failure to meet these milestones may impact the Grant Recipient for the current grant and/or future grant </w:t>
      </w:r>
      <w:proofErr w:type="gramStart"/>
      <w:r w:rsidR="000C1904">
        <w:t>applications</w:t>
      </w:r>
      <w:r w:rsidR="00E8669D">
        <w:t>;</w:t>
      </w:r>
      <w:proofErr w:type="gramEnd"/>
    </w:p>
    <w:p w14:paraId="1582DF5E" w14:textId="263FF55B" w:rsidR="000C1904" w:rsidRPr="00502B4A" w:rsidRDefault="000C1904" w:rsidP="00FE3D82">
      <w:pPr>
        <w:pStyle w:val="3BULLETarial11"/>
        <w:numPr>
          <w:ilvl w:val="0"/>
          <w:numId w:val="0"/>
        </w:numPr>
        <w:ind w:left="1080"/>
      </w:pPr>
      <w:r>
        <w:rPr>
          <w:b/>
          <w:bCs/>
        </w:rPr>
        <w:t>Section D Special Conditions</w:t>
      </w:r>
      <w:r w:rsidR="00147968">
        <w:t xml:space="preserve"> – </w:t>
      </w:r>
      <w:r>
        <w:t xml:space="preserve">Provisions 1 through 8 are specific to Community Development Block Grants, followed by conditions specific to the requested </w:t>
      </w:r>
      <w:proofErr w:type="gramStart"/>
      <w:r>
        <w:t>project</w:t>
      </w:r>
      <w:r w:rsidR="00E8669D">
        <w:t>;</w:t>
      </w:r>
      <w:proofErr w:type="gramEnd"/>
    </w:p>
    <w:p w14:paraId="1162D176" w14:textId="0EDE3309" w:rsidR="008D4E7C" w:rsidRDefault="00334B62" w:rsidP="00BB18DA">
      <w:pPr>
        <w:pStyle w:val="3BULLETarial11"/>
      </w:pPr>
      <w:r w:rsidRPr="00F76605">
        <w:rPr>
          <w:b/>
          <w:bCs/>
          <w:i/>
          <w:iCs/>
        </w:rPr>
        <w:t>Exhibit B</w:t>
      </w:r>
      <w:r w:rsidR="00502B4A">
        <w:t xml:space="preserve"> – T</w:t>
      </w:r>
      <w:r w:rsidR="003545CC" w:rsidRPr="00502B4A">
        <w:t xml:space="preserve">he </w:t>
      </w:r>
      <w:r w:rsidR="00502B4A">
        <w:t>b</w:t>
      </w:r>
      <w:r w:rsidR="003545CC" w:rsidRPr="00502B4A">
        <w:t xml:space="preserve">udget </w:t>
      </w:r>
      <w:r w:rsidR="00502B4A">
        <w:t>s</w:t>
      </w:r>
      <w:r w:rsidRPr="00502B4A">
        <w:t xml:space="preserve">pecifies the </w:t>
      </w:r>
      <w:r w:rsidR="00F16203">
        <w:t>agreement</w:t>
      </w:r>
      <w:r w:rsidR="00F16203" w:rsidRPr="00502B4A">
        <w:t xml:space="preserve"> </w:t>
      </w:r>
      <w:r w:rsidRPr="00502B4A">
        <w:t>budget</w:t>
      </w:r>
      <w:r w:rsidR="00F16203">
        <w:t xml:space="preserve"> by</w:t>
      </w:r>
      <w:r w:rsidRPr="00502B4A">
        <w:t xml:space="preserve"> </w:t>
      </w:r>
      <w:r w:rsidR="003545CC" w:rsidRPr="00502B4A">
        <w:t>line</w:t>
      </w:r>
      <w:r w:rsidR="00F16203">
        <w:t xml:space="preserve"> </w:t>
      </w:r>
      <w:r w:rsidR="00CF70EB">
        <w:t>i</w:t>
      </w:r>
      <w:r w:rsidR="003545CC" w:rsidRPr="00502B4A">
        <w:t>tem</w:t>
      </w:r>
      <w:r w:rsidR="00C93537" w:rsidRPr="00502B4A">
        <w:t>.</w:t>
      </w:r>
      <w:r w:rsidR="00CF70EB">
        <w:t xml:space="preserve"> </w:t>
      </w:r>
      <w:r w:rsidR="003545CC" w:rsidRPr="00502B4A">
        <w:t xml:space="preserve">This Exhibit also </w:t>
      </w:r>
      <w:r w:rsidR="00DF6F6A">
        <w:t xml:space="preserve">reflects </w:t>
      </w:r>
      <w:r w:rsidR="00F16203">
        <w:t>matching funds committed by the Grant Recipient</w:t>
      </w:r>
      <w:r w:rsidR="003545CC" w:rsidRPr="00502B4A">
        <w:t xml:space="preserve"> that are necessary to complete the Performance Statement specifics of this </w:t>
      </w:r>
      <w:proofErr w:type="gramStart"/>
      <w:r w:rsidR="00F16203">
        <w:t>agreement</w:t>
      </w:r>
      <w:r w:rsidRPr="00502B4A">
        <w:t>;</w:t>
      </w:r>
      <w:proofErr w:type="gramEnd"/>
    </w:p>
    <w:p w14:paraId="6FB0F681" w14:textId="692FC1B0" w:rsidR="000C1904" w:rsidRDefault="000C1904" w:rsidP="00BB18DA">
      <w:pPr>
        <w:pStyle w:val="3BULLETarial11"/>
      </w:pPr>
      <w:r w:rsidRPr="00F76605">
        <w:rPr>
          <w:b/>
          <w:bCs/>
          <w:i/>
          <w:iCs/>
        </w:rPr>
        <w:t>Exhibit C General Terms and Conditions</w:t>
      </w:r>
      <w:r w:rsidR="00147968">
        <w:t xml:space="preserve"> – </w:t>
      </w:r>
      <w:r>
        <w:t>This Exhibit includes standard provisions for federal grants; and</w:t>
      </w:r>
    </w:p>
    <w:p w14:paraId="3F4719D1" w14:textId="2A66D09E" w:rsidR="000C1904" w:rsidRDefault="000C1904" w:rsidP="00BB18DA">
      <w:pPr>
        <w:pStyle w:val="3BULLETarial11"/>
      </w:pPr>
      <w:r w:rsidRPr="00F76605">
        <w:rPr>
          <w:b/>
          <w:bCs/>
          <w:i/>
          <w:iCs/>
        </w:rPr>
        <w:t>Exhibit D Certifications and Assurances</w:t>
      </w:r>
      <w:r>
        <w:rPr>
          <w:b/>
          <w:bCs/>
        </w:rPr>
        <w:t xml:space="preserve"> </w:t>
      </w:r>
      <w:r>
        <w:t>– This Exhibit includes standard certifications to which all TxCDBG Grant Recipients must agree.</w:t>
      </w:r>
    </w:p>
    <w:p w14:paraId="455E16CA" w14:textId="459D119C" w:rsidR="000C1904" w:rsidRDefault="000C1904" w:rsidP="000C1904">
      <w:pPr>
        <w:pStyle w:val="3BULLETarial11"/>
        <w:numPr>
          <w:ilvl w:val="0"/>
          <w:numId w:val="0"/>
        </w:numPr>
        <w:ind w:left="720" w:hanging="360"/>
      </w:pPr>
    </w:p>
    <w:p w14:paraId="35B9596D" w14:textId="22A87694" w:rsidR="000C1904" w:rsidRDefault="000C1904" w:rsidP="000C1904">
      <w:pPr>
        <w:pStyle w:val="3BULLETarial11"/>
        <w:numPr>
          <w:ilvl w:val="0"/>
          <w:numId w:val="0"/>
        </w:numPr>
        <w:ind w:left="720" w:hanging="360"/>
      </w:pPr>
    </w:p>
    <w:p w14:paraId="33D9C649" w14:textId="4498B30A" w:rsidR="000C1904" w:rsidRDefault="000C1904" w:rsidP="000C1904">
      <w:pPr>
        <w:pStyle w:val="3BULLETarial11"/>
        <w:numPr>
          <w:ilvl w:val="0"/>
          <w:numId w:val="0"/>
        </w:numPr>
        <w:ind w:left="720" w:hanging="360"/>
      </w:pPr>
    </w:p>
    <w:p w14:paraId="31195C47" w14:textId="34F5DADF" w:rsidR="000C1904" w:rsidRDefault="000C1904" w:rsidP="000C1904">
      <w:pPr>
        <w:pStyle w:val="3BULLETarial11"/>
        <w:numPr>
          <w:ilvl w:val="0"/>
          <w:numId w:val="0"/>
        </w:numPr>
        <w:ind w:left="720" w:hanging="360"/>
      </w:pPr>
    </w:p>
    <w:p w14:paraId="152543D9" w14:textId="77777777" w:rsidR="000C1904" w:rsidRDefault="000C1904" w:rsidP="00997D7D">
      <w:pPr>
        <w:pStyle w:val="3BULLETarial11"/>
        <w:numPr>
          <w:ilvl w:val="0"/>
          <w:numId w:val="0"/>
        </w:numPr>
      </w:pPr>
    </w:p>
    <w:p w14:paraId="6CCCE54C" w14:textId="3F0C95C0" w:rsidR="00813B00" w:rsidRDefault="000C1904" w:rsidP="00813B00">
      <w:pPr>
        <w:pStyle w:val="3BULLETarial11"/>
        <w:numPr>
          <w:ilvl w:val="0"/>
          <w:numId w:val="0"/>
        </w:numPr>
        <w:ind w:left="360"/>
      </w:pPr>
      <w:r>
        <w:rPr>
          <w:noProof/>
        </w:rPr>
        <w:drawing>
          <wp:anchor distT="0" distB="0" distL="114300" distR="114300" simplePos="0" relativeHeight="251660288" behindDoc="0" locked="0" layoutInCell="1" allowOverlap="1" wp14:anchorId="643FF6E1" wp14:editId="41A08568">
            <wp:simplePos x="0" y="0"/>
            <wp:positionH relativeFrom="column">
              <wp:posOffset>492760</wp:posOffset>
            </wp:positionH>
            <wp:positionV relativeFrom="paragraph">
              <wp:posOffset>68436</wp:posOffset>
            </wp:positionV>
            <wp:extent cx="4892511" cy="3084409"/>
            <wp:effectExtent l="0" t="0" r="0" b="1905"/>
            <wp:wrapNone/>
            <wp:docPr id="6" name="Picture 6"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applicatio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892511" cy="3084409"/>
                    </a:xfrm>
                    <a:prstGeom prst="rect">
                      <a:avLst/>
                    </a:prstGeom>
                  </pic:spPr>
                </pic:pic>
              </a:graphicData>
            </a:graphic>
            <wp14:sizeRelH relativeFrom="page">
              <wp14:pctWidth>0</wp14:pctWidth>
            </wp14:sizeRelH>
            <wp14:sizeRelV relativeFrom="page">
              <wp14:pctHeight>0</wp14:pctHeight>
            </wp14:sizeRelV>
          </wp:anchor>
        </w:drawing>
      </w:r>
      <w:r w:rsidR="00A0658D">
        <w:rPr>
          <w:noProof/>
        </w:rPr>
        <w:softHyphen/>
      </w:r>
    </w:p>
    <w:p w14:paraId="4CC8BF84" w14:textId="5BD7930D" w:rsidR="0032154C" w:rsidRDefault="0032154C" w:rsidP="00CF70EB">
      <w:pPr>
        <w:pStyle w:val="1BODY-Arial11"/>
      </w:pPr>
    </w:p>
    <w:p w14:paraId="78314C96" w14:textId="5611BC11" w:rsidR="00A3495F" w:rsidRDefault="00A3495F" w:rsidP="00CF70EB">
      <w:pPr>
        <w:pStyle w:val="1BODY-Arial11"/>
      </w:pPr>
    </w:p>
    <w:p w14:paraId="0168C4E7" w14:textId="2B567489" w:rsidR="00A3495F" w:rsidRDefault="00A3495F" w:rsidP="00CF70EB">
      <w:pPr>
        <w:pStyle w:val="1BODY-Arial11"/>
      </w:pPr>
    </w:p>
    <w:p w14:paraId="2EC18277" w14:textId="50B6D447" w:rsidR="00A3495F" w:rsidRDefault="00A3495F" w:rsidP="00CF70EB">
      <w:pPr>
        <w:pStyle w:val="1BODY-Arial11"/>
      </w:pPr>
    </w:p>
    <w:p w14:paraId="10FA7D1A" w14:textId="123A2649" w:rsidR="00A3495F" w:rsidRDefault="00A3495F" w:rsidP="00CF70EB">
      <w:pPr>
        <w:pStyle w:val="1BODY-Arial11"/>
      </w:pPr>
    </w:p>
    <w:p w14:paraId="6E74589E" w14:textId="5BDB7571" w:rsidR="00A3495F" w:rsidRDefault="003D5675" w:rsidP="00CF70EB">
      <w:pPr>
        <w:pStyle w:val="1BODY-Arial11"/>
      </w:pPr>
      <w:r>
        <w:rPr>
          <w:noProof/>
        </w:rPr>
        <mc:AlternateContent>
          <mc:Choice Requires="wps">
            <w:drawing>
              <wp:anchor distT="0" distB="0" distL="114300" distR="114300" simplePos="0" relativeHeight="251663360" behindDoc="0" locked="0" layoutInCell="1" allowOverlap="1" wp14:anchorId="627F1ADC" wp14:editId="29C7576D">
                <wp:simplePos x="0" y="0"/>
                <wp:positionH relativeFrom="column">
                  <wp:posOffset>1419356</wp:posOffset>
                </wp:positionH>
                <wp:positionV relativeFrom="paragraph">
                  <wp:posOffset>45062</wp:posOffset>
                </wp:positionV>
                <wp:extent cx="1424940" cy="125756"/>
                <wp:effectExtent l="0" t="0" r="10160" b="13970"/>
                <wp:wrapNone/>
                <wp:docPr id="8" name="Rectangle 8"/>
                <wp:cNvGraphicFramePr/>
                <a:graphic xmlns:a="http://schemas.openxmlformats.org/drawingml/2006/main">
                  <a:graphicData uri="http://schemas.microsoft.com/office/word/2010/wordprocessingShape">
                    <wps:wsp>
                      <wps:cNvSpPr/>
                      <wps:spPr>
                        <a:xfrm>
                          <a:off x="0" y="0"/>
                          <a:ext cx="1424940" cy="125756"/>
                        </a:xfrm>
                        <a:prstGeom prst="rect">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29F3D2" id="Rectangle 8" o:spid="_x0000_s1026" style="position:absolute;margin-left:111.75pt;margin-top:3.55pt;width:112.2pt;height:9.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" filled="f" strokecolor="red" strokeweight="1pt"/>
            </w:pict>
          </mc:Fallback>
        </mc:AlternateContent>
      </w:r>
    </w:p>
    <w:p w14:paraId="2CE6742E" w14:textId="2FA5A33A" w:rsidR="00A3495F" w:rsidRDefault="00A3495F" w:rsidP="00CF70EB">
      <w:pPr>
        <w:pStyle w:val="1BODY-Arial11"/>
      </w:pPr>
    </w:p>
    <w:p w14:paraId="4E25CEC5" w14:textId="5DDD8F06" w:rsidR="00A3495F" w:rsidRDefault="00A3495F" w:rsidP="00CF70EB">
      <w:pPr>
        <w:pStyle w:val="1BODY-Arial11"/>
      </w:pPr>
    </w:p>
    <w:p w14:paraId="3A1C1B75" w14:textId="7BBC2A7E" w:rsidR="00A3495F" w:rsidRDefault="00A3495F" w:rsidP="00CF70EB">
      <w:pPr>
        <w:pStyle w:val="1BODY-Arial11"/>
      </w:pPr>
    </w:p>
    <w:p w14:paraId="795CF4EB" w14:textId="77A57A34" w:rsidR="00A3495F" w:rsidRDefault="00A3495F" w:rsidP="00CF70EB">
      <w:pPr>
        <w:pStyle w:val="1BODY-Arial11"/>
      </w:pPr>
    </w:p>
    <w:p w14:paraId="18B43661" w14:textId="3753FE08" w:rsidR="00A3495F" w:rsidRDefault="003D5675" w:rsidP="00CF70EB">
      <w:pPr>
        <w:pStyle w:val="1BODY-Arial11"/>
      </w:pPr>
      <w:r>
        <w:rPr>
          <w:noProof/>
        </w:rPr>
        <mc:AlternateContent>
          <mc:Choice Requires="wps">
            <w:drawing>
              <wp:anchor distT="0" distB="0" distL="114300" distR="114300" simplePos="0" relativeHeight="251661312" behindDoc="0" locked="0" layoutInCell="1" allowOverlap="1" wp14:anchorId="1CA6D6C7" wp14:editId="761ABCCB">
                <wp:simplePos x="0" y="0"/>
                <wp:positionH relativeFrom="column">
                  <wp:posOffset>493850</wp:posOffset>
                </wp:positionH>
                <wp:positionV relativeFrom="paragraph">
                  <wp:posOffset>55654</wp:posOffset>
                </wp:positionV>
                <wp:extent cx="792233" cy="262985"/>
                <wp:effectExtent l="0" t="0" r="8255" b="16510"/>
                <wp:wrapNone/>
                <wp:docPr id="7" name="Rectangle 7"/>
                <wp:cNvGraphicFramePr/>
                <a:graphic xmlns:a="http://schemas.openxmlformats.org/drawingml/2006/main">
                  <a:graphicData uri="http://schemas.microsoft.com/office/word/2010/wordprocessingShape">
                    <wps:wsp>
                      <wps:cNvSpPr/>
                      <wps:spPr>
                        <a:xfrm>
                          <a:off x="0" y="0"/>
                          <a:ext cx="792233" cy="262985"/>
                        </a:xfrm>
                        <a:prstGeom prst="rect">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ED16F2" id="Rectangle 7" o:spid="_x0000_s1026" style="position:absolute;margin-left:38.9pt;margin-top:4.4pt;width:62.4pt;height:20.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" filled="f" strokecolor="red" strokeweight="1pt"/>
            </w:pict>
          </mc:Fallback>
        </mc:AlternateContent>
      </w:r>
    </w:p>
    <w:p w14:paraId="3A4030EE" w14:textId="4BA1E637" w:rsidR="00A3495F" w:rsidRDefault="00A3495F" w:rsidP="00CF70EB">
      <w:pPr>
        <w:pStyle w:val="1BODY-Arial11"/>
      </w:pPr>
    </w:p>
    <w:p w14:paraId="1D0997F6" w14:textId="141772E4" w:rsidR="00A3495F" w:rsidRDefault="00A3495F" w:rsidP="00CF70EB">
      <w:pPr>
        <w:pStyle w:val="1BODY-Arial11"/>
      </w:pPr>
    </w:p>
    <w:p w14:paraId="629F42FB" w14:textId="12D99331" w:rsidR="00A3495F" w:rsidRDefault="00A3495F" w:rsidP="00CF70EB">
      <w:pPr>
        <w:pStyle w:val="1BODY-Arial11"/>
      </w:pPr>
    </w:p>
    <w:p w14:paraId="3FF089E1" w14:textId="09E656BB" w:rsidR="00A3495F" w:rsidRDefault="00A3495F" w:rsidP="00CF70EB">
      <w:pPr>
        <w:pStyle w:val="1BODY-Arial11"/>
      </w:pPr>
    </w:p>
    <w:p w14:paraId="6499FD2D" w14:textId="02929EDD" w:rsidR="00A3495F" w:rsidRDefault="00A3495F" w:rsidP="00CF70EB">
      <w:pPr>
        <w:pStyle w:val="1BODY-Arial11"/>
      </w:pPr>
    </w:p>
    <w:p w14:paraId="793B6B00" w14:textId="77777777" w:rsidR="00A0658D" w:rsidRDefault="00A0658D" w:rsidP="00A0658D">
      <w:pPr>
        <w:pStyle w:val="1BODY-Arial11"/>
        <w:rPr>
          <w:b/>
          <w:bCs/>
          <w:i/>
          <w:iCs/>
          <w:color w:val="4472C4"/>
          <w:sz w:val="18"/>
          <w:szCs w:val="18"/>
        </w:rPr>
      </w:pPr>
    </w:p>
    <w:p w14:paraId="3A785584" w14:textId="38835FD1" w:rsidR="00A0658D" w:rsidRDefault="00A0658D" w:rsidP="00A0658D">
      <w:pPr>
        <w:pStyle w:val="1BODY-Arial11"/>
        <w:ind w:firstLine="720"/>
        <w:rPr>
          <w:b/>
          <w:bCs/>
          <w:i/>
          <w:iCs/>
          <w:color w:val="4472C4"/>
          <w:sz w:val="18"/>
          <w:szCs w:val="18"/>
        </w:rPr>
      </w:pPr>
      <w:r w:rsidRPr="00E25717">
        <w:rPr>
          <w:b/>
          <w:bCs/>
          <w:i/>
          <w:iCs/>
          <w:color w:val="4472C4"/>
          <w:sz w:val="18"/>
          <w:szCs w:val="18"/>
        </w:rPr>
        <w:t xml:space="preserve">Figure </w:t>
      </w:r>
      <w:r>
        <w:rPr>
          <w:b/>
          <w:bCs/>
          <w:i/>
          <w:iCs/>
          <w:color w:val="4472C4"/>
          <w:sz w:val="18"/>
          <w:szCs w:val="18"/>
        </w:rPr>
        <w:t>2</w:t>
      </w:r>
      <w:r w:rsidRPr="00E25717">
        <w:rPr>
          <w:b/>
          <w:bCs/>
          <w:i/>
          <w:iCs/>
          <w:color w:val="4472C4"/>
          <w:sz w:val="18"/>
          <w:szCs w:val="18"/>
        </w:rPr>
        <w:t xml:space="preserve">. </w:t>
      </w:r>
      <w:r>
        <w:rPr>
          <w:b/>
          <w:bCs/>
          <w:i/>
          <w:iCs/>
          <w:color w:val="4472C4"/>
          <w:sz w:val="18"/>
          <w:szCs w:val="18"/>
        </w:rPr>
        <w:t xml:space="preserve">How to view your grant </w:t>
      </w:r>
    </w:p>
    <w:p w14:paraId="22FFB62F" w14:textId="46FCFA12" w:rsidR="000364E4" w:rsidRDefault="000364E4" w:rsidP="00A0658D">
      <w:pPr>
        <w:pStyle w:val="1BODY-Arial11"/>
        <w:ind w:firstLine="720"/>
        <w:rPr>
          <w:b/>
          <w:bCs/>
          <w:i/>
          <w:iCs/>
          <w:color w:val="4472C4"/>
          <w:sz w:val="18"/>
          <w:szCs w:val="18"/>
        </w:rPr>
      </w:pPr>
    </w:p>
    <w:p w14:paraId="72126BF0" w14:textId="77777777" w:rsidR="000364E4" w:rsidRPr="00E25717" w:rsidRDefault="000364E4" w:rsidP="00A0658D">
      <w:pPr>
        <w:pStyle w:val="1BODY-Arial11"/>
        <w:ind w:firstLine="720"/>
        <w:rPr>
          <w:b/>
          <w:bCs/>
          <w:i/>
          <w:iCs/>
          <w:color w:val="4472C4"/>
          <w:sz w:val="18"/>
          <w:szCs w:val="18"/>
        </w:rPr>
      </w:pPr>
    </w:p>
    <w:p w14:paraId="4C67F74E" w14:textId="3720E31F" w:rsidR="0032154C" w:rsidRDefault="0032154C" w:rsidP="00CF70EB">
      <w:pPr>
        <w:pStyle w:val="1BODY-Arial11"/>
      </w:pPr>
      <w:r w:rsidRPr="00B56F73">
        <w:t xml:space="preserve">The chief local official for the </w:t>
      </w:r>
      <w:r w:rsidR="003756F1" w:rsidRPr="00B56F73">
        <w:t>Grant Recipient</w:t>
      </w:r>
      <w:r w:rsidR="00553EA1">
        <w:t xml:space="preserve"> or other local official</w:t>
      </w:r>
      <w:r w:rsidR="00E8669D">
        <w:t xml:space="preserve">, </w:t>
      </w:r>
      <w:r w:rsidR="00553EA1">
        <w:t xml:space="preserve">designated by resolution and </w:t>
      </w:r>
      <w:r w:rsidR="00E8669D">
        <w:t>registered in TDA-GO as the Authorized Official,</w:t>
      </w:r>
      <w:r w:rsidRPr="00B56F73">
        <w:t xml:space="preserve"> </w:t>
      </w:r>
      <w:r w:rsidR="009620DE">
        <w:t xml:space="preserve">and the TDA </w:t>
      </w:r>
      <w:r w:rsidR="00553EA1">
        <w:t>Executive Staff</w:t>
      </w:r>
      <w:r w:rsidR="00633F97">
        <w:t xml:space="preserve"> </w:t>
      </w:r>
      <w:r w:rsidR="009620DE">
        <w:t xml:space="preserve">both must sign the </w:t>
      </w:r>
      <w:r w:rsidR="00553EA1">
        <w:t xml:space="preserve">agreement electronically in TDA-GO </w:t>
      </w:r>
      <w:r w:rsidR="009620DE">
        <w:t xml:space="preserve">before the </w:t>
      </w:r>
      <w:r w:rsidR="00553EA1">
        <w:t xml:space="preserve">agreement </w:t>
      </w:r>
      <w:r w:rsidR="00050363">
        <w:t>is considered fully executed.</w:t>
      </w:r>
      <w:r w:rsidR="00F76605">
        <w:t xml:space="preserve"> </w:t>
      </w:r>
      <w:r w:rsidR="00553EA1">
        <w:t xml:space="preserve">To sign the agreement, navigate to the Agreement Certification page, mark the appropriate checkbox, </w:t>
      </w:r>
      <w:r w:rsidR="00F76605">
        <w:t>select</w:t>
      </w:r>
      <w:r w:rsidR="00553EA1">
        <w:t xml:space="preserve"> the </w:t>
      </w:r>
      <w:r w:rsidR="00553EA1" w:rsidRPr="00F76605">
        <w:rPr>
          <w:b/>
          <w:bCs/>
        </w:rPr>
        <w:t>Save</w:t>
      </w:r>
      <w:r w:rsidR="00553EA1">
        <w:t xml:space="preserve"> button in the top right of the page, and change the status of the document by </w:t>
      </w:r>
      <w:r w:rsidR="00F76605">
        <w:t>selecting</w:t>
      </w:r>
      <w:r w:rsidR="00553EA1">
        <w:t xml:space="preserve"> </w:t>
      </w:r>
      <w:r w:rsidR="00553EA1" w:rsidRPr="00F76605">
        <w:rPr>
          <w:b/>
          <w:bCs/>
        </w:rPr>
        <w:t>Grant Pending TDA</w:t>
      </w:r>
      <w:r w:rsidR="00553EA1">
        <w:t xml:space="preserve"> Signature in the blue navigation menu.</w:t>
      </w:r>
    </w:p>
    <w:p w14:paraId="5AD03713" w14:textId="77777777" w:rsidR="00553EA1" w:rsidRPr="00B56F73" w:rsidRDefault="00553EA1" w:rsidP="00CF70EB">
      <w:pPr>
        <w:pStyle w:val="1BODY-Arial11"/>
      </w:pPr>
    </w:p>
    <w:p w14:paraId="4B875429" w14:textId="77777777" w:rsidR="00930FE0" w:rsidRPr="00B56F73" w:rsidRDefault="00930FE0" w:rsidP="0032154C">
      <w:pPr>
        <w:jc w:val="both"/>
        <w:rPr>
          <w:rFonts w:ascii="Arial" w:hAnsi="Arial" w:cs="Arial"/>
          <w:sz w:val="12"/>
          <w:szCs w:val="12"/>
        </w:rPr>
      </w:pPr>
    </w:p>
    <w:bookmarkEnd w:id="6"/>
    <w:bookmarkEnd w:id="7"/>
    <w:bookmarkEnd w:id="8"/>
    <w:bookmarkEnd w:id="9"/>
    <w:p w14:paraId="25B1D057" w14:textId="77777777" w:rsidR="00C7086E" w:rsidRPr="00CF70EB" w:rsidRDefault="0047607D" w:rsidP="00C7086E">
      <w:pPr>
        <w:rPr>
          <w:rFonts w:ascii="Arial" w:hAnsi="Arial" w:cs="Arial"/>
          <w:b/>
          <w:sz w:val="22"/>
          <w:szCs w:val="22"/>
        </w:rPr>
      </w:pPr>
      <w:r w:rsidRPr="00CF70EB">
        <w:rPr>
          <w:rFonts w:ascii="Arial" w:hAnsi="Arial" w:cs="Arial"/>
          <w:b/>
          <w:sz w:val="22"/>
          <w:szCs w:val="22"/>
        </w:rPr>
        <w:t>Ready to Proceed</w:t>
      </w:r>
      <w:r w:rsidR="00C7086E" w:rsidRPr="00CF70EB">
        <w:rPr>
          <w:rFonts w:ascii="Arial" w:hAnsi="Arial" w:cs="Arial"/>
          <w:b/>
          <w:sz w:val="22"/>
          <w:szCs w:val="22"/>
        </w:rPr>
        <w:t xml:space="preserve"> Rule</w:t>
      </w:r>
    </w:p>
    <w:p w14:paraId="31926609" w14:textId="31223157" w:rsidR="008D4F38" w:rsidRPr="00B56F73" w:rsidRDefault="00C7086E" w:rsidP="00CF70EB">
      <w:pPr>
        <w:pStyle w:val="1BODY-Arial11"/>
      </w:pPr>
      <w:r w:rsidRPr="00B56F73">
        <w:t xml:space="preserve">Prior to executing the </w:t>
      </w:r>
      <w:r w:rsidR="00553EA1">
        <w:t>agreement</w:t>
      </w:r>
      <w:r w:rsidRPr="00B56F73">
        <w:t xml:space="preserve">, </w:t>
      </w:r>
      <w:r w:rsidR="00D12B5C">
        <w:t>TDA</w:t>
      </w:r>
      <w:r w:rsidRPr="00B56F73">
        <w:t xml:space="preserve"> will ensure that existing </w:t>
      </w:r>
      <w:r w:rsidR="00553EA1">
        <w:t>grant agreements</w:t>
      </w:r>
      <w:r w:rsidR="00553EA1" w:rsidRPr="00B56F73">
        <w:t xml:space="preserve"> </w:t>
      </w:r>
      <w:r w:rsidRPr="00B56F73">
        <w:t>are in good standing</w:t>
      </w:r>
      <w:r w:rsidR="00334B62">
        <w:t xml:space="preserve"> and will</w:t>
      </w:r>
      <w:r w:rsidRPr="00B56F73">
        <w:t xml:space="preserve"> require</w:t>
      </w:r>
      <w:r w:rsidR="003756F1" w:rsidRPr="00B56F73">
        <w:t xml:space="preserve"> </w:t>
      </w:r>
      <w:r w:rsidRPr="00B56F73">
        <w:t>that</w:t>
      </w:r>
      <w:r w:rsidR="008D4F38" w:rsidRPr="00B56F73">
        <w:t xml:space="preserve"> the following are resolved to </w:t>
      </w:r>
      <w:r w:rsidR="00DA7AAC">
        <w:t>TDA</w:t>
      </w:r>
      <w:r w:rsidR="00DA7AAC" w:rsidRPr="00B56F73">
        <w:t xml:space="preserve">’s </w:t>
      </w:r>
      <w:r w:rsidR="008D4F38" w:rsidRPr="00B56F73">
        <w:t>satisfaction within ninet</w:t>
      </w:r>
      <w:r w:rsidR="00CF70EB">
        <w:t xml:space="preserve">y </w:t>
      </w:r>
      <w:r w:rsidR="008D4F38" w:rsidRPr="00B56F73">
        <w:t xml:space="preserve">days after the </w:t>
      </w:r>
      <w:r w:rsidR="00C74C3A">
        <w:t>grant</w:t>
      </w:r>
      <w:r w:rsidR="00C74C3A" w:rsidRPr="00B56F73">
        <w:t xml:space="preserve"> </w:t>
      </w:r>
      <w:r w:rsidR="008D4F38" w:rsidRPr="00B56F73">
        <w:t>award date:</w:t>
      </w:r>
      <w:r w:rsidRPr="00B56F73">
        <w:t xml:space="preserve"> </w:t>
      </w:r>
    </w:p>
    <w:p w14:paraId="5861253C" w14:textId="3565A83A" w:rsidR="008D4F38" w:rsidRPr="006A229F" w:rsidRDefault="00AB5137" w:rsidP="00BB18DA">
      <w:pPr>
        <w:pStyle w:val="3BULLETarial11"/>
      </w:pPr>
      <w:r w:rsidRPr="00267E42">
        <w:t>R</w:t>
      </w:r>
      <w:r w:rsidR="008D4F38" w:rsidRPr="00267E42">
        <w:t>eadiness to proceed</w:t>
      </w:r>
      <w:r w:rsidR="006A229F" w:rsidRPr="006A229F">
        <w:t xml:space="preserve"> </w:t>
      </w:r>
      <w:r w:rsidR="008D4F38" w:rsidRPr="006A229F">
        <w:t>issues regarding the current award; and</w:t>
      </w:r>
    </w:p>
    <w:p w14:paraId="21DE50F5" w14:textId="07CBA2E3" w:rsidR="008D4F38" w:rsidRPr="006A229F" w:rsidRDefault="00AB5137" w:rsidP="00BB18DA">
      <w:pPr>
        <w:pStyle w:val="3BULLETarial11"/>
      </w:pPr>
      <w:r w:rsidRPr="006A229F">
        <w:t>O</w:t>
      </w:r>
      <w:r w:rsidR="00C7086E" w:rsidRPr="006A229F">
        <w:t xml:space="preserve">utstanding issues on existing </w:t>
      </w:r>
      <w:r w:rsidR="00553EA1">
        <w:t>grants</w:t>
      </w:r>
      <w:r w:rsidR="00553EA1" w:rsidRPr="006A229F">
        <w:t xml:space="preserve"> </w:t>
      </w:r>
      <w:r w:rsidR="00C7086E" w:rsidRPr="006A229F">
        <w:t>regarding compliance with program requirements.</w:t>
      </w:r>
      <w:r w:rsidR="00C93537" w:rsidRPr="006A229F">
        <w:t xml:space="preserve"> </w:t>
      </w:r>
    </w:p>
    <w:p w14:paraId="68D47888" w14:textId="77777777" w:rsidR="008D4F38" w:rsidRPr="00B56F73" w:rsidRDefault="008D4F38" w:rsidP="006A229F">
      <w:pPr>
        <w:pStyle w:val="1BODY-Arial11"/>
      </w:pPr>
    </w:p>
    <w:p w14:paraId="3A20D5B8" w14:textId="2A348E7F" w:rsidR="00C7086E" w:rsidRDefault="00C7086E" w:rsidP="006A229F">
      <w:pPr>
        <w:pStyle w:val="1BODY-Arial11"/>
      </w:pPr>
      <w:r w:rsidRPr="00B56F73">
        <w:t xml:space="preserve">If the issues identified by </w:t>
      </w:r>
      <w:r w:rsidR="00A44A62" w:rsidRPr="00B56F73">
        <w:t>T</w:t>
      </w:r>
      <w:r w:rsidR="00AB5137">
        <w:t>x</w:t>
      </w:r>
      <w:r w:rsidR="00A44A62" w:rsidRPr="00B56F73">
        <w:t>CDBG</w:t>
      </w:r>
      <w:r w:rsidRPr="00B56F73">
        <w:t xml:space="preserve"> staff at the time of the funding award are not addressed within the required 90 days, </w:t>
      </w:r>
      <w:r w:rsidR="000B5F52">
        <w:t>TDA</w:t>
      </w:r>
      <w:r w:rsidRPr="00B56F73">
        <w:t xml:space="preserve"> will not execute the </w:t>
      </w:r>
      <w:r w:rsidR="00553EA1">
        <w:t>grant agreement</w:t>
      </w:r>
      <w:r w:rsidR="00553EA1" w:rsidRPr="00B56F73">
        <w:t xml:space="preserve"> </w:t>
      </w:r>
      <w:r w:rsidRPr="00B56F73">
        <w:t xml:space="preserve">and the TxCDBG funds awarded </w:t>
      </w:r>
      <w:r w:rsidR="00E8669D">
        <w:t>may</w:t>
      </w:r>
      <w:r w:rsidR="00E8669D" w:rsidRPr="00B56F73">
        <w:t xml:space="preserve"> </w:t>
      </w:r>
      <w:r w:rsidRPr="00B56F73">
        <w:t>be withdrawn and reallocated.</w:t>
      </w:r>
    </w:p>
    <w:p w14:paraId="73ABA518" w14:textId="77777777" w:rsidR="006A229F" w:rsidRPr="00B56F73" w:rsidRDefault="006A229F" w:rsidP="006A229F">
      <w:pPr>
        <w:pStyle w:val="1BODY-Arial11"/>
      </w:pPr>
    </w:p>
    <w:p w14:paraId="18B3C54B" w14:textId="77777777" w:rsidR="00254885" w:rsidRPr="00B56F73" w:rsidRDefault="00254885" w:rsidP="00254885">
      <w:pPr>
        <w:autoSpaceDE w:val="0"/>
        <w:autoSpaceDN w:val="0"/>
        <w:adjustRightInd w:val="0"/>
        <w:rPr>
          <w:rFonts w:ascii="Arial" w:hAnsi="Arial" w:cs="Arial"/>
          <w:sz w:val="20"/>
          <w:szCs w:val="20"/>
        </w:rPr>
      </w:pPr>
    </w:p>
    <w:p w14:paraId="43A492BB" w14:textId="77777777" w:rsidR="00F11072" w:rsidRPr="00D94721" w:rsidRDefault="00C60DEE" w:rsidP="00A450A6">
      <w:pPr>
        <w:pStyle w:val="4ArialBold14"/>
      </w:pPr>
      <w:bookmarkStart w:id="12" w:name="_Toc97737598"/>
      <w:r w:rsidRPr="00D94721">
        <w:t>1.1.</w:t>
      </w:r>
      <w:r w:rsidR="00414B6E" w:rsidRPr="00D94721">
        <w:t>3</w:t>
      </w:r>
      <w:r w:rsidRPr="00D94721">
        <w:t xml:space="preserve"> </w:t>
      </w:r>
      <w:r w:rsidR="002044F2" w:rsidRPr="00D94721">
        <w:t>Establish a Local Administrative Structure</w:t>
      </w:r>
      <w:bookmarkEnd w:id="12"/>
    </w:p>
    <w:p w14:paraId="09CD91F9" w14:textId="77777777" w:rsidR="006A229F" w:rsidRDefault="006A229F" w:rsidP="000B1167">
      <w:pPr>
        <w:rPr>
          <w:rFonts w:ascii="Arial" w:hAnsi="Arial" w:cs="Arial"/>
          <w:sz w:val="22"/>
          <w:szCs w:val="22"/>
        </w:rPr>
      </w:pPr>
    </w:p>
    <w:p w14:paraId="1B9DEA86" w14:textId="31D97E38" w:rsidR="000B1167" w:rsidRPr="00F33478" w:rsidRDefault="001567AE" w:rsidP="006A229F">
      <w:pPr>
        <w:pStyle w:val="1BODY-Arial11"/>
      </w:pPr>
      <w:r w:rsidRPr="00F33478">
        <w:t>Each Grant Recipient must establish a local administrative structure</w:t>
      </w:r>
      <w:r w:rsidR="000B1167" w:rsidRPr="00F33478">
        <w:t xml:space="preserve"> to complete the grant. The </w:t>
      </w:r>
      <w:r w:rsidR="006A229F">
        <w:t>e</w:t>
      </w:r>
      <w:r w:rsidR="000B1167" w:rsidRPr="00F33478">
        <w:t xml:space="preserve">ligible </w:t>
      </w:r>
      <w:r w:rsidR="006A229F">
        <w:t>ac</w:t>
      </w:r>
      <w:r w:rsidR="000B1167" w:rsidRPr="00F33478">
        <w:t xml:space="preserve">tivity and </w:t>
      </w:r>
      <w:r w:rsidR="006A229F">
        <w:t>n</w:t>
      </w:r>
      <w:r w:rsidR="000B1167" w:rsidRPr="00F33478">
        <w:t xml:space="preserve">ational </w:t>
      </w:r>
      <w:r w:rsidR="006A229F">
        <w:t>o</w:t>
      </w:r>
      <w:r w:rsidR="000B1167" w:rsidRPr="00F33478">
        <w:t xml:space="preserve">bjective requirements are not met until the project is completed and there is sufficient documentation to ensure that the project is consistent with the designated </w:t>
      </w:r>
      <w:r w:rsidR="006A229F">
        <w:t>n</w:t>
      </w:r>
      <w:r w:rsidR="000B1167" w:rsidRPr="00F33478">
        <w:t xml:space="preserve">ational </w:t>
      </w:r>
      <w:r w:rsidR="006A229F">
        <w:t>o</w:t>
      </w:r>
      <w:r w:rsidR="000B1167" w:rsidRPr="00F33478">
        <w:t>bjective.</w:t>
      </w:r>
    </w:p>
    <w:p w14:paraId="143AE150" w14:textId="77777777" w:rsidR="000B1167" w:rsidRDefault="000B1167" w:rsidP="000B1167"/>
    <w:p w14:paraId="10020921" w14:textId="77777777" w:rsidR="00997D7D" w:rsidRDefault="00997D7D" w:rsidP="006A229F">
      <w:pPr>
        <w:pStyle w:val="1BODY-Arial11"/>
      </w:pPr>
    </w:p>
    <w:p w14:paraId="31E26A3E" w14:textId="3924F3FB" w:rsidR="0044466C" w:rsidRPr="00997D7D" w:rsidRDefault="000B1167" w:rsidP="006A229F">
      <w:pPr>
        <w:pStyle w:val="1BODY-Arial11"/>
        <w:rPr>
          <w:b/>
          <w:bCs/>
        </w:rPr>
      </w:pPr>
      <w:r w:rsidRPr="00997D7D">
        <w:rPr>
          <w:b/>
          <w:bCs/>
        </w:rPr>
        <w:lastRenderedPageBreak/>
        <w:t>The Grant Recipient must</w:t>
      </w:r>
    </w:p>
    <w:p w14:paraId="56129E7E" w14:textId="5F3AE9D6" w:rsidR="001567AE" w:rsidRPr="00A11997" w:rsidRDefault="005546C1" w:rsidP="00BB18DA">
      <w:pPr>
        <w:pStyle w:val="3BULLETarial11"/>
      </w:pPr>
      <w:r>
        <w:t>e</w:t>
      </w:r>
      <w:r w:rsidR="000B1167" w:rsidRPr="00A11997">
        <w:t>stablish a r</w:t>
      </w:r>
      <w:r w:rsidR="001567AE" w:rsidRPr="00A11997">
        <w:t xml:space="preserve">ecord-keeping </w:t>
      </w:r>
      <w:r w:rsidR="0024239A" w:rsidRPr="00A11997">
        <w:t xml:space="preserve">system </w:t>
      </w:r>
      <w:r w:rsidR="001567AE" w:rsidRPr="00A11997">
        <w:t>to document compliance with all federal</w:t>
      </w:r>
      <w:r w:rsidR="00200929">
        <w:t>,</w:t>
      </w:r>
      <w:r w:rsidR="001567AE" w:rsidRPr="00A11997">
        <w:t xml:space="preserve"> state, local, and program requirements</w:t>
      </w:r>
      <w:r w:rsidR="00A709A1">
        <w:t xml:space="preserve"> by</w:t>
      </w:r>
    </w:p>
    <w:p w14:paraId="23573D0A" w14:textId="6BA2076B" w:rsidR="000B1167" w:rsidRPr="00A11997" w:rsidRDefault="00A709A1" w:rsidP="00BB18DA">
      <w:pPr>
        <w:pStyle w:val="3BULLETarial11"/>
        <w:numPr>
          <w:ilvl w:val="0"/>
          <w:numId w:val="22"/>
        </w:numPr>
      </w:pPr>
      <w:r>
        <w:t>keeping all g</w:t>
      </w:r>
      <w:r w:rsidR="000B1167" w:rsidRPr="00A11997">
        <w:t xml:space="preserve">rant files at city or county </w:t>
      </w:r>
      <w:r w:rsidR="0071066B">
        <w:t>offices</w:t>
      </w:r>
      <w:r w:rsidR="0003636D">
        <w:t xml:space="preserve"> or buildings</w:t>
      </w:r>
      <w:r w:rsidR="00D2632D">
        <w:t xml:space="preserve"> </w:t>
      </w:r>
      <w:r w:rsidR="004858D8">
        <w:t>in which</w:t>
      </w:r>
      <w:r w:rsidR="00D2632D">
        <w:t xml:space="preserve"> </w:t>
      </w:r>
      <w:r w:rsidR="006B510F">
        <w:t xml:space="preserve">government records are </w:t>
      </w:r>
      <w:r w:rsidR="00FF4759">
        <w:t>maintained</w:t>
      </w:r>
      <w:r w:rsidR="006B510F">
        <w:t xml:space="preserve"> and accessible </w:t>
      </w:r>
      <w:r w:rsidR="00D2632D">
        <w:t>to the public</w:t>
      </w:r>
      <w:r w:rsidR="000B1167" w:rsidRPr="00A11997">
        <w:t xml:space="preserve"> throughout the </w:t>
      </w:r>
      <w:r w:rsidR="00C74C3A">
        <w:t>grant agreement</w:t>
      </w:r>
      <w:r w:rsidR="00C74C3A" w:rsidRPr="00A11997">
        <w:t xml:space="preserve"> </w:t>
      </w:r>
      <w:r w:rsidR="000B1167" w:rsidRPr="00A11997">
        <w:t xml:space="preserve">period. </w:t>
      </w:r>
    </w:p>
    <w:p w14:paraId="38E29748" w14:textId="7F201FF3" w:rsidR="00A709A1" w:rsidRDefault="00A709A1" w:rsidP="00BB18DA">
      <w:pPr>
        <w:pStyle w:val="3BULLETarial11"/>
        <w:numPr>
          <w:ilvl w:val="0"/>
          <w:numId w:val="22"/>
        </w:numPr>
      </w:pPr>
      <w:r>
        <w:t>retaining all r</w:t>
      </w:r>
      <w:r w:rsidR="000B1167" w:rsidRPr="00A11997">
        <w:t xml:space="preserve">ecords for the greater of </w:t>
      </w:r>
      <w:r w:rsidR="00DF6F6A">
        <w:t xml:space="preserve">four </w:t>
      </w:r>
      <w:r w:rsidR="000B1167" w:rsidRPr="00A11997">
        <w:t>years from closeout of the grant to the state, or the period required by other applicable federal and state laws and regulations.</w:t>
      </w:r>
      <w:r w:rsidR="00633F97">
        <w:t xml:space="preserve"> </w:t>
      </w:r>
    </w:p>
    <w:p w14:paraId="64CD665F" w14:textId="7DB27B5F" w:rsidR="000B1167" w:rsidRPr="00A11997" w:rsidRDefault="00633F97" w:rsidP="00A709A1">
      <w:pPr>
        <w:pStyle w:val="3BULLETarial11"/>
        <w:numPr>
          <w:ilvl w:val="0"/>
          <w:numId w:val="0"/>
        </w:numPr>
        <w:ind w:left="1080"/>
      </w:pPr>
      <w:r w:rsidRPr="00A709A1">
        <w:rPr>
          <w:b/>
          <w:bCs/>
        </w:rPr>
        <w:t>NOTE:</w:t>
      </w:r>
      <w:r>
        <w:t xml:space="preserve"> Closeout of the grant to the state should not be confused with the closeout of the grant to the subrecipient or the Administratively </w:t>
      </w:r>
      <w:r w:rsidR="00DE4625">
        <w:t xml:space="preserve">Complete </w:t>
      </w:r>
      <w:r>
        <w:t xml:space="preserve">letter. See the TxCDBG website for the current record retention </w:t>
      </w:r>
      <w:r w:rsidR="00DF6F6A">
        <w:t>schedule</w:t>
      </w:r>
      <w:r>
        <w:t xml:space="preserve">. </w:t>
      </w:r>
    </w:p>
    <w:p w14:paraId="36DD3E21" w14:textId="04FC06B1" w:rsidR="001567AE" w:rsidRPr="00A11997" w:rsidRDefault="005546C1" w:rsidP="00BB18DA">
      <w:pPr>
        <w:pStyle w:val="3BULLETarial11"/>
      </w:pPr>
      <w:r>
        <w:t>r</w:t>
      </w:r>
      <w:r w:rsidR="000B1167" w:rsidRPr="00A11997">
        <w:t xml:space="preserve">eview </w:t>
      </w:r>
      <w:r w:rsidR="00DF6F6A">
        <w:t xml:space="preserve">and comply with </w:t>
      </w:r>
      <w:r w:rsidR="002575D1">
        <w:t xml:space="preserve">all </w:t>
      </w:r>
      <w:r w:rsidR="001567AE" w:rsidRPr="00A11997">
        <w:t>local charters, resolutions, ordinances, and policies</w:t>
      </w:r>
      <w:r w:rsidR="000B1167" w:rsidRPr="00A11997">
        <w:t xml:space="preserve"> that may be relevant to the project</w:t>
      </w:r>
      <w:r w:rsidR="001567AE" w:rsidRPr="00A11997">
        <w:t>;</w:t>
      </w:r>
      <w:r w:rsidR="00E27DFA">
        <w:t xml:space="preserve"> and</w:t>
      </w:r>
    </w:p>
    <w:p w14:paraId="60A535E1" w14:textId="58259563" w:rsidR="000B1167" w:rsidRPr="00A11997" w:rsidRDefault="005546C1" w:rsidP="00BB18DA">
      <w:pPr>
        <w:pStyle w:val="3BULLETarial11"/>
      </w:pPr>
      <w:r>
        <w:t>d</w:t>
      </w:r>
      <w:r w:rsidR="000B1167" w:rsidRPr="00A11997">
        <w:t>etermine whether day-to-day administration of the project will be conducted by local staff or by a certified third-party consultant, and which party will conduct each administrative activity</w:t>
      </w:r>
      <w:r w:rsidR="00E27DFA">
        <w:t>.</w:t>
      </w:r>
    </w:p>
    <w:p w14:paraId="3D10D3ED" w14:textId="77777777" w:rsidR="004E1473" w:rsidRDefault="004E1473" w:rsidP="000B1167">
      <w:pPr>
        <w:jc w:val="both"/>
      </w:pPr>
    </w:p>
    <w:p w14:paraId="499F071C" w14:textId="7832B5A4" w:rsidR="000B1167" w:rsidRDefault="00F76605" w:rsidP="006A229F">
      <w:pPr>
        <w:pStyle w:val="1BODY-Arial11"/>
      </w:pPr>
      <w:r>
        <w:t>TxCDBG p</w:t>
      </w:r>
      <w:r w:rsidR="003545CC" w:rsidRPr="003545CC">
        <w:t xml:space="preserve">rogram recipients have the final legal responsibility for the locally maintained grant files, the timely submission of reports, and compliance with program guidelines. </w:t>
      </w:r>
    </w:p>
    <w:p w14:paraId="74E0991B" w14:textId="4C4F7A78" w:rsidR="003A784F" w:rsidRDefault="003A784F" w:rsidP="006A229F">
      <w:pPr>
        <w:pStyle w:val="1BODY-Arial11"/>
      </w:pPr>
    </w:p>
    <w:p w14:paraId="32DB0477" w14:textId="1DF872CA" w:rsidR="006D7CE3" w:rsidRPr="00B56F73" w:rsidRDefault="006A229F" w:rsidP="00997D7D">
      <w:pPr>
        <w:pStyle w:val="1BODY-Arial11"/>
      </w:pPr>
      <w:r w:rsidRPr="006A229F">
        <w:rPr>
          <w:b/>
          <w:bCs/>
        </w:rPr>
        <w:t>BEST PRACTICE:</w:t>
      </w:r>
      <w:r w:rsidRPr="00B16FFB">
        <w:t xml:space="preserve"> TxCDBG recommends that the Grant Recipient review the </w:t>
      </w:r>
      <w:r w:rsidRPr="00B16FFB">
        <w:rPr>
          <w:i/>
        </w:rPr>
        <w:t>Administrative Activities Checklist</w:t>
      </w:r>
      <w:r w:rsidRPr="00B16FFB">
        <w:t xml:space="preserve"> </w:t>
      </w:r>
      <w:r w:rsidRPr="00B16FFB">
        <w:rPr>
          <w:b/>
        </w:rPr>
        <w:t>(Form A102)</w:t>
      </w:r>
      <w:r w:rsidRPr="00B16FFB">
        <w:t xml:space="preserve"> item-by-item</w:t>
      </w:r>
      <w:r>
        <w:t xml:space="preserve"> a</w:t>
      </w:r>
      <w:r w:rsidRPr="00B16FFB">
        <w:t xml:space="preserve">nd identify the activities </w:t>
      </w:r>
      <w:r>
        <w:t>to</w:t>
      </w:r>
      <w:r w:rsidRPr="00B16FFB">
        <w:t xml:space="preserve"> be performed by Grant Recipient staff and those that will require outside assistance. It is also helpful to walk each staff member responsible for implementing the </w:t>
      </w:r>
      <w:r w:rsidR="00553EA1">
        <w:t>grant</w:t>
      </w:r>
      <w:r w:rsidR="00553EA1" w:rsidRPr="00B16FFB">
        <w:t xml:space="preserve"> </w:t>
      </w:r>
      <w:r w:rsidRPr="00B16FFB">
        <w:t>through the TxCDBG program requirements.</w:t>
      </w:r>
    </w:p>
    <w:p w14:paraId="60535B5F" w14:textId="78E53B9A" w:rsidR="00997D7D" w:rsidRPr="00F76605" w:rsidRDefault="00997D7D" w:rsidP="00A450A6">
      <w:pPr>
        <w:pStyle w:val="4ArialBold14"/>
        <w:rPr>
          <w:sz w:val="18"/>
          <w:szCs w:val="18"/>
        </w:rPr>
      </w:pPr>
    </w:p>
    <w:p w14:paraId="0D2C78F6" w14:textId="77777777" w:rsidR="00997D7D" w:rsidRPr="00F76605" w:rsidRDefault="00997D7D" w:rsidP="00A450A6">
      <w:pPr>
        <w:pStyle w:val="4ArialBold14"/>
        <w:rPr>
          <w:sz w:val="18"/>
          <w:szCs w:val="18"/>
        </w:rPr>
      </w:pPr>
    </w:p>
    <w:p w14:paraId="28762F43" w14:textId="5F587A29" w:rsidR="00F93B76" w:rsidRPr="00B65D65" w:rsidRDefault="00F93B76" w:rsidP="00A450A6">
      <w:pPr>
        <w:pStyle w:val="4ArialBold14"/>
        <w:rPr>
          <w:color w:val="FF0000"/>
        </w:rPr>
      </w:pPr>
      <w:bookmarkStart w:id="13" w:name="_Toc97737599"/>
      <w:r w:rsidRPr="00B56F73">
        <w:t>1.1.</w:t>
      </w:r>
      <w:r w:rsidR="00414B6E" w:rsidRPr="00B56F73">
        <w:t>4</w:t>
      </w:r>
      <w:r w:rsidRPr="00B56F73">
        <w:t xml:space="preserve"> Administrative Thresholds</w:t>
      </w:r>
      <w:bookmarkEnd w:id="13"/>
    </w:p>
    <w:p w14:paraId="58FFE891" w14:textId="0DC21E8F" w:rsidR="00522711" w:rsidRDefault="00522711" w:rsidP="00522711">
      <w:pPr>
        <w:rPr>
          <w:color w:val="FF0000"/>
        </w:rPr>
      </w:pPr>
      <w:bookmarkStart w:id="14" w:name="_Toc7269258"/>
      <w:bookmarkStart w:id="15" w:name="_Toc38100383"/>
    </w:p>
    <w:p w14:paraId="08EFCA02" w14:textId="77777777" w:rsidR="0026140E" w:rsidRPr="00EC73F3" w:rsidRDefault="0026140E" w:rsidP="0026140E">
      <w:pPr>
        <w:pStyle w:val="3Arial11"/>
      </w:pPr>
      <w:r w:rsidRPr="00EC73F3">
        <w:t>Project Schedule</w:t>
      </w:r>
    </w:p>
    <w:p w14:paraId="72256C8A" w14:textId="77777777" w:rsidR="0026140E" w:rsidRDefault="0026140E" w:rsidP="0026140E"/>
    <w:p w14:paraId="20C1E4B8" w14:textId="7C87AC5B" w:rsidR="0026140E" w:rsidRPr="00330486" w:rsidRDefault="0026140E" w:rsidP="0026140E">
      <w:pPr>
        <w:pStyle w:val="1BODY-Arial11"/>
        <w:rPr>
          <w:spacing w:val="1"/>
        </w:rPr>
      </w:pPr>
      <w:r w:rsidRPr="00330486">
        <w:rPr>
          <w:spacing w:val="1"/>
        </w:rPr>
        <w:t xml:space="preserve">The Grant Recipient will comply with the project schedule included in the grant agreement. Failure to meet any of the milestones below may result in sanctions as outlined in the TxCDBG Project </w:t>
      </w:r>
      <w:proofErr w:type="spellStart"/>
      <w:r w:rsidRPr="00330486">
        <w:rPr>
          <w:spacing w:val="1"/>
        </w:rPr>
        <w:t>Implemen</w:t>
      </w:r>
      <w:r w:rsidR="00330486">
        <w:rPr>
          <w:spacing w:val="1"/>
        </w:rPr>
        <w:t>-</w:t>
      </w:r>
      <w:r w:rsidRPr="00330486">
        <w:rPr>
          <w:spacing w:val="1"/>
        </w:rPr>
        <w:t>tation</w:t>
      </w:r>
      <w:proofErr w:type="spellEnd"/>
      <w:r w:rsidRPr="00330486">
        <w:rPr>
          <w:spacing w:val="1"/>
        </w:rPr>
        <w:t xml:space="preserve"> Manual, Requests for Applications, other published guidance, and conditions of the agreement.</w:t>
      </w:r>
    </w:p>
    <w:p w14:paraId="4970209D" w14:textId="77777777" w:rsidR="0026140E" w:rsidRDefault="0026140E" w:rsidP="0026140E">
      <w:pPr>
        <w:pStyle w:val="1BODY-Arial11"/>
      </w:pPr>
    </w:p>
    <w:tbl>
      <w:tblPr>
        <w:tblStyle w:val="TableGrid"/>
        <w:tblW w:w="10075" w:type="dxa"/>
        <w:tblLook w:val="04A0" w:firstRow="1" w:lastRow="0" w:firstColumn="1" w:lastColumn="0" w:noHBand="0" w:noVBand="1"/>
      </w:tblPr>
      <w:tblGrid>
        <w:gridCol w:w="4675"/>
        <w:gridCol w:w="5400"/>
      </w:tblGrid>
      <w:tr w:rsidR="0026140E" w14:paraId="788E204E" w14:textId="77777777" w:rsidTr="00F76605">
        <w:tc>
          <w:tcPr>
            <w:tcW w:w="4675" w:type="dxa"/>
            <w:vAlign w:val="center"/>
          </w:tcPr>
          <w:p w14:paraId="6DA00298" w14:textId="77777777" w:rsidR="0026140E" w:rsidRPr="00F76605" w:rsidRDefault="0026140E" w:rsidP="00F76605">
            <w:pPr>
              <w:pStyle w:val="1BODY-Arial11"/>
              <w:jc w:val="center"/>
              <w:rPr>
                <w:b/>
                <w:bCs/>
                <w:sz w:val="20"/>
                <w:szCs w:val="20"/>
              </w:rPr>
            </w:pPr>
            <w:r w:rsidRPr="00F76605">
              <w:rPr>
                <w:b/>
                <w:bCs/>
                <w:sz w:val="20"/>
                <w:szCs w:val="20"/>
              </w:rPr>
              <w:t>Milestone</w:t>
            </w:r>
          </w:p>
        </w:tc>
        <w:tc>
          <w:tcPr>
            <w:tcW w:w="5400" w:type="dxa"/>
            <w:vAlign w:val="center"/>
          </w:tcPr>
          <w:p w14:paraId="663F6C89" w14:textId="77777777" w:rsidR="00F76605" w:rsidRDefault="0026140E" w:rsidP="00F76605">
            <w:pPr>
              <w:pStyle w:val="1BODY-Arial11"/>
              <w:jc w:val="center"/>
              <w:rPr>
                <w:b/>
                <w:bCs/>
                <w:sz w:val="20"/>
                <w:szCs w:val="20"/>
              </w:rPr>
            </w:pPr>
            <w:r w:rsidRPr="00F76605">
              <w:rPr>
                <w:b/>
                <w:bCs/>
                <w:sz w:val="20"/>
                <w:szCs w:val="20"/>
              </w:rPr>
              <w:t xml:space="preserve">Standard Consequences of Failure to </w:t>
            </w:r>
          </w:p>
          <w:p w14:paraId="2B509143" w14:textId="77777777" w:rsidR="00F76605" w:rsidRDefault="0026140E" w:rsidP="00F76605">
            <w:pPr>
              <w:pStyle w:val="1BODY-Arial11"/>
              <w:jc w:val="center"/>
              <w:rPr>
                <w:b/>
                <w:bCs/>
                <w:sz w:val="20"/>
                <w:szCs w:val="20"/>
              </w:rPr>
            </w:pPr>
            <w:r w:rsidRPr="00F76605">
              <w:rPr>
                <w:b/>
                <w:bCs/>
                <w:sz w:val="20"/>
                <w:szCs w:val="20"/>
              </w:rPr>
              <w:t xml:space="preserve">Satisfy Milestone on or </w:t>
            </w:r>
            <w:r w:rsidR="00F76605">
              <w:rPr>
                <w:b/>
                <w:bCs/>
                <w:sz w:val="20"/>
                <w:szCs w:val="20"/>
              </w:rPr>
              <w:t>B</w:t>
            </w:r>
            <w:r w:rsidRPr="00F76605">
              <w:rPr>
                <w:b/>
                <w:bCs/>
                <w:sz w:val="20"/>
                <w:szCs w:val="20"/>
              </w:rPr>
              <w:t xml:space="preserve">efore </w:t>
            </w:r>
            <w:r w:rsidR="00F76605">
              <w:rPr>
                <w:b/>
                <w:bCs/>
                <w:sz w:val="20"/>
                <w:szCs w:val="20"/>
              </w:rPr>
              <w:t>D</w:t>
            </w:r>
            <w:r w:rsidRPr="00F76605">
              <w:rPr>
                <w:b/>
                <w:bCs/>
                <w:sz w:val="20"/>
                <w:szCs w:val="20"/>
              </w:rPr>
              <w:t xml:space="preserve">ate </w:t>
            </w:r>
          </w:p>
          <w:p w14:paraId="2E908013" w14:textId="12F710EA" w:rsidR="0026140E" w:rsidRPr="00F76605" w:rsidRDefault="00F76605" w:rsidP="00F76605">
            <w:pPr>
              <w:pStyle w:val="1BODY-Arial11"/>
              <w:jc w:val="center"/>
              <w:rPr>
                <w:b/>
                <w:bCs/>
                <w:sz w:val="20"/>
                <w:szCs w:val="20"/>
              </w:rPr>
            </w:pPr>
            <w:r>
              <w:rPr>
                <w:b/>
                <w:bCs/>
                <w:sz w:val="20"/>
                <w:szCs w:val="20"/>
              </w:rPr>
              <w:t>I</w:t>
            </w:r>
            <w:r w:rsidR="0026140E" w:rsidRPr="00F76605">
              <w:rPr>
                <w:b/>
                <w:bCs/>
                <w:sz w:val="20"/>
                <w:szCs w:val="20"/>
              </w:rPr>
              <w:t>dentified in Grant Agreement</w:t>
            </w:r>
          </w:p>
        </w:tc>
      </w:tr>
      <w:tr w:rsidR="0026140E" w14:paraId="57DD9781" w14:textId="77777777" w:rsidTr="00995C2C">
        <w:tc>
          <w:tcPr>
            <w:tcW w:w="4675" w:type="dxa"/>
          </w:tcPr>
          <w:p w14:paraId="7F7A5482" w14:textId="77777777" w:rsidR="0026140E" w:rsidRPr="00FE3D82" w:rsidRDefault="0026140E" w:rsidP="00995C2C">
            <w:pPr>
              <w:pStyle w:val="1BODY-Arial11"/>
              <w:rPr>
                <w:sz w:val="20"/>
                <w:szCs w:val="20"/>
              </w:rPr>
            </w:pPr>
            <w:r w:rsidRPr="00FE3D82">
              <w:rPr>
                <w:sz w:val="20"/>
                <w:szCs w:val="20"/>
              </w:rPr>
              <w:t>Pre-agreement cost begins</w:t>
            </w:r>
          </w:p>
        </w:tc>
        <w:tc>
          <w:tcPr>
            <w:tcW w:w="5400" w:type="dxa"/>
          </w:tcPr>
          <w:p w14:paraId="1308E8F4" w14:textId="77777777" w:rsidR="0026140E" w:rsidRPr="00FE3D82" w:rsidRDefault="0026140E" w:rsidP="00995C2C">
            <w:pPr>
              <w:pStyle w:val="1BODY-Arial11"/>
              <w:jc w:val="center"/>
              <w:rPr>
                <w:sz w:val="20"/>
                <w:szCs w:val="20"/>
              </w:rPr>
            </w:pPr>
            <w:r>
              <w:rPr>
                <w:sz w:val="20"/>
                <w:szCs w:val="20"/>
              </w:rPr>
              <w:t xml:space="preserve"> n/a</w:t>
            </w:r>
          </w:p>
        </w:tc>
      </w:tr>
      <w:tr w:rsidR="0026140E" w14:paraId="7D020714" w14:textId="77777777" w:rsidTr="00995C2C">
        <w:tc>
          <w:tcPr>
            <w:tcW w:w="4675" w:type="dxa"/>
          </w:tcPr>
          <w:p w14:paraId="6B0A18E9" w14:textId="46631C8B" w:rsidR="0026140E" w:rsidRPr="00FE3D82" w:rsidRDefault="0026140E" w:rsidP="00995C2C">
            <w:pPr>
              <w:pStyle w:val="1BODY-Arial11"/>
              <w:rPr>
                <w:sz w:val="20"/>
                <w:szCs w:val="20"/>
              </w:rPr>
            </w:pPr>
            <w:r>
              <w:rPr>
                <w:sz w:val="20"/>
                <w:szCs w:val="20"/>
              </w:rPr>
              <w:t xml:space="preserve">Grant </w:t>
            </w:r>
            <w:r w:rsidR="00C74C3A">
              <w:t>agreement</w:t>
            </w:r>
            <w:r w:rsidR="00C74C3A" w:rsidRPr="00B56F73">
              <w:t xml:space="preserve"> </w:t>
            </w:r>
            <w:r>
              <w:rPr>
                <w:sz w:val="20"/>
                <w:szCs w:val="20"/>
              </w:rPr>
              <w:t>period begins</w:t>
            </w:r>
          </w:p>
        </w:tc>
        <w:tc>
          <w:tcPr>
            <w:tcW w:w="5400" w:type="dxa"/>
          </w:tcPr>
          <w:p w14:paraId="7D6A95CE" w14:textId="77777777" w:rsidR="0026140E" w:rsidRPr="00FE3D82" w:rsidRDefault="0026140E" w:rsidP="00995C2C">
            <w:pPr>
              <w:pStyle w:val="1BODY-Arial11"/>
              <w:jc w:val="center"/>
              <w:rPr>
                <w:sz w:val="20"/>
                <w:szCs w:val="20"/>
              </w:rPr>
            </w:pPr>
            <w:r>
              <w:rPr>
                <w:sz w:val="20"/>
                <w:szCs w:val="20"/>
              </w:rPr>
              <w:t xml:space="preserve"> n/a</w:t>
            </w:r>
          </w:p>
        </w:tc>
      </w:tr>
      <w:tr w:rsidR="0026140E" w14:paraId="7BCBC89D" w14:textId="77777777" w:rsidTr="00555935">
        <w:tc>
          <w:tcPr>
            <w:tcW w:w="4675" w:type="dxa"/>
            <w:vAlign w:val="center"/>
          </w:tcPr>
          <w:p w14:paraId="51D68539" w14:textId="77777777" w:rsidR="0026140E" w:rsidRPr="00FE3D82" w:rsidRDefault="0026140E" w:rsidP="00555935">
            <w:pPr>
              <w:pStyle w:val="1BODY-Arial11"/>
              <w:jc w:val="left"/>
              <w:rPr>
                <w:sz w:val="20"/>
                <w:szCs w:val="20"/>
              </w:rPr>
            </w:pPr>
            <w:r>
              <w:rPr>
                <w:sz w:val="20"/>
                <w:szCs w:val="20"/>
              </w:rPr>
              <w:t>Environmental review/plans and specifications recommended to be complete</w:t>
            </w:r>
          </w:p>
        </w:tc>
        <w:tc>
          <w:tcPr>
            <w:tcW w:w="5400" w:type="dxa"/>
            <w:vAlign w:val="center"/>
          </w:tcPr>
          <w:p w14:paraId="2DC1B865" w14:textId="49A65E66" w:rsidR="0026140E" w:rsidRPr="00FE3D82" w:rsidRDefault="0026140E" w:rsidP="00555935">
            <w:pPr>
              <w:pStyle w:val="1BODY-Arial11"/>
              <w:jc w:val="left"/>
              <w:rPr>
                <w:sz w:val="20"/>
                <w:szCs w:val="20"/>
              </w:rPr>
            </w:pPr>
            <w:r>
              <w:rPr>
                <w:sz w:val="20"/>
                <w:szCs w:val="20"/>
              </w:rPr>
              <w:t>scoring penalty may applied to future grant applications</w:t>
            </w:r>
          </w:p>
        </w:tc>
      </w:tr>
      <w:tr w:rsidR="0026140E" w14:paraId="7EE7B1E2" w14:textId="77777777" w:rsidTr="00555935">
        <w:tc>
          <w:tcPr>
            <w:tcW w:w="4675" w:type="dxa"/>
            <w:vAlign w:val="center"/>
          </w:tcPr>
          <w:p w14:paraId="53DC2BA4" w14:textId="77777777" w:rsidR="0026140E" w:rsidRPr="00FE3D82" w:rsidRDefault="0026140E" w:rsidP="00555935">
            <w:pPr>
              <w:pStyle w:val="1BODY-Arial11"/>
              <w:jc w:val="left"/>
              <w:rPr>
                <w:sz w:val="20"/>
                <w:szCs w:val="20"/>
              </w:rPr>
            </w:pPr>
            <w:r>
              <w:rPr>
                <w:sz w:val="20"/>
                <w:szCs w:val="20"/>
              </w:rPr>
              <w:t>Group B forms required to be complete</w:t>
            </w:r>
          </w:p>
        </w:tc>
        <w:tc>
          <w:tcPr>
            <w:tcW w:w="5400" w:type="dxa"/>
            <w:vAlign w:val="center"/>
          </w:tcPr>
          <w:p w14:paraId="40830F1D" w14:textId="0E804BAB" w:rsidR="0026140E" w:rsidRPr="00FE3D82" w:rsidRDefault="0026140E" w:rsidP="00555935">
            <w:pPr>
              <w:pStyle w:val="1BODY-Arial11"/>
              <w:jc w:val="left"/>
              <w:rPr>
                <w:sz w:val="20"/>
                <w:szCs w:val="20"/>
              </w:rPr>
            </w:pPr>
            <w:r>
              <w:rPr>
                <w:sz w:val="20"/>
                <w:szCs w:val="20"/>
              </w:rPr>
              <w:t>ineligibility for future grant applications until the milestone is satisfied and/ or initiation of grant termination</w:t>
            </w:r>
          </w:p>
        </w:tc>
      </w:tr>
      <w:tr w:rsidR="0026140E" w14:paraId="3ED1A835" w14:textId="77777777" w:rsidTr="00555935">
        <w:tc>
          <w:tcPr>
            <w:tcW w:w="4675" w:type="dxa"/>
            <w:vAlign w:val="center"/>
          </w:tcPr>
          <w:p w14:paraId="19A02FF4" w14:textId="77777777" w:rsidR="0026140E" w:rsidRPr="00FE3D82" w:rsidRDefault="0026140E" w:rsidP="00555935">
            <w:pPr>
              <w:pStyle w:val="1BODY-Arial11"/>
              <w:jc w:val="left"/>
              <w:rPr>
                <w:sz w:val="20"/>
                <w:szCs w:val="20"/>
              </w:rPr>
            </w:pPr>
            <w:r>
              <w:rPr>
                <w:sz w:val="20"/>
                <w:szCs w:val="20"/>
              </w:rPr>
              <w:t>Project recommended to be complete, including inspections</w:t>
            </w:r>
          </w:p>
        </w:tc>
        <w:tc>
          <w:tcPr>
            <w:tcW w:w="5400" w:type="dxa"/>
            <w:vAlign w:val="center"/>
          </w:tcPr>
          <w:p w14:paraId="315C5911" w14:textId="77777777" w:rsidR="0026140E" w:rsidRPr="00FE3D82" w:rsidRDefault="0026140E" w:rsidP="00555935">
            <w:pPr>
              <w:pStyle w:val="1BODY-Arial11"/>
              <w:jc w:val="left"/>
              <w:rPr>
                <w:sz w:val="20"/>
                <w:szCs w:val="20"/>
              </w:rPr>
            </w:pPr>
            <w:r>
              <w:rPr>
                <w:sz w:val="20"/>
                <w:szCs w:val="20"/>
              </w:rPr>
              <w:t xml:space="preserve"> n/a</w:t>
            </w:r>
          </w:p>
        </w:tc>
      </w:tr>
      <w:tr w:rsidR="0026140E" w14:paraId="02DA5FCA" w14:textId="77777777" w:rsidTr="00555935">
        <w:tc>
          <w:tcPr>
            <w:tcW w:w="4675" w:type="dxa"/>
            <w:vAlign w:val="center"/>
          </w:tcPr>
          <w:p w14:paraId="0C2EDA97" w14:textId="46F505F4" w:rsidR="0026140E" w:rsidRPr="00FE3D82" w:rsidRDefault="0026140E" w:rsidP="00555935">
            <w:pPr>
              <w:pStyle w:val="1BODY-Arial11"/>
              <w:jc w:val="left"/>
              <w:rPr>
                <w:sz w:val="20"/>
                <w:szCs w:val="20"/>
              </w:rPr>
            </w:pPr>
            <w:r>
              <w:rPr>
                <w:sz w:val="20"/>
                <w:szCs w:val="20"/>
              </w:rPr>
              <w:t xml:space="preserve">Grant </w:t>
            </w:r>
            <w:r w:rsidR="00C74C3A">
              <w:t>agreement</w:t>
            </w:r>
            <w:r w:rsidR="00C74C3A" w:rsidRPr="00B56F73">
              <w:t xml:space="preserve"> </w:t>
            </w:r>
            <w:r>
              <w:rPr>
                <w:sz w:val="20"/>
                <w:szCs w:val="20"/>
              </w:rPr>
              <w:t>period ends</w:t>
            </w:r>
          </w:p>
        </w:tc>
        <w:tc>
          <w:tcPr>
            <w:tcW w:w="5400" w:type="dxa"/>
            <w:vAlign w:val="center"/>
          </w:tcPr>
          <w:p w14:paraId="7C848474" w14:textId="05D8CE76" w:rsidR="0026140E" w:rsidRPr="00FE3D82" w:rsidRDefault="007E1FC3" w:rsidP="00555935">
            <w:pPr>
              <w:pStyle w:val="1BODY-Arial11"/>
              <w:jc w:val="left"/>
              <w:rPr>
                <w:sz w:val="20"/>
                <w:szCs w:val="20"/>
              </w:rPr>
            </w:pPr>
            <w:r>
              <w:rPr>
                <w:sz w:val="20"/>
                <w:szCs w:val="20"/>
              </w:rPr>
              <w:t xml:space="preserve">If a grant extension is required, </w:t>
            </w:r>
            <w:r w:rsidR="0026140E">
              <w:rPr>
                <w:sz w:val="20"/>
                <w:szCs w:val="20"/>
              </w:rPr>
              <w:t xml:space="preserve">ineligibility for future grant applications until the </w:t>
            </w:r>
            <w:r>
              <w:rPr>
                <w:sz w:val="20"/>
                <w:szCs w:val="20"/>
              </w:rPr>
              <w:t>project is documented as complete</w:t>
            </w:r>
          </w:p>
        </w:tc>
      </w:tr>
      <w:tr w:rsidR="0026140E" w14:paraId="5043A5C3" w14:textId="77777777" w:rsidTr="00555935">
        <w:tc>
          <w:tcPr>
            <w:tcW w:w="4675" w:type="dxa"/>
            <w:vAlign w:val="center"/>
          </w:tcPr>
          <w:p w14:paraId="0E996F6C" w14:textId="77777777" w:rsidR="0026140E" w:rsidRPr="00FE3D82" w:rsidRDefault="0026140E" w:rsidP="00555935">
            <w:pPr>
              <w:pStyle w:val="1BODY-Arial11"/>
              <w:jc w:val="left"/>
              <w:rPr>
                <w:sz w:val="20"/>
                <w:szCs w:val="20"/>
              </w:rPr>
            </w:pPr>
            <w:r>
              <w:rPr>
                <w:sz w:val="20"/>
                <w:szCs w:val="20"/>
              </w:rPr>
              <w:t>Final payment and closeout documentation required to be submitted</w:t>
            </w:r>
          </w:p>
        </w:tc>
        <w:tc>
          <w:tcPr>
            <w:tcW w:w="5400" w:type="dxa"/>
            <w:vAlign w:val="center"/>
          </w:tcPr>
          <w:p w14:paraId="2F544E11" w14:textId="6AE3A613" w:rsidR="0026140E" w:rsidRPr="00FE3D82" w:rsidRDefault="0026140E" w:rsidP="00555935">
            <w:pPr>
              <w:pStyle w:val="1BODY-Arial11"/>
              <w:jc w:val="left"/>
              <w:rPr>
                <w:sz w:val="20"/>
                <w:szCs w:val="20"/>
              </w:rPr>
            </w:pPr>
            <w:proofErr w:type="spellStart"/>
            <w:r>
              <w:rPr>
                <w:sz w:val="20"/>
                <w:szCs w:val="20"/>
              </w:rPr>
              <w:t>deobligation</w:t>
            </w:r>
            <w:proofErr w:type="spellEnd"/>
            <w:r>
              <w:rPr>
                <w:sz w:val="20"/>
                <w:szCs w:val="20"/>
              </w:rPr>
              <w:t xml:space="preserve"> of all remaining grant funds</w:t>
            </w:r>
          </w:p>
        </w:tc>
      </w:tr>
    </w:tbl>
    <w:p w14:paraId="2A617725" w14:textId="77777777" w:rsidR="00330486" w:rsidRDefault="00330486" w:rsidP="00E70390">
      <w:pPr>
        <w:pStyle w:val="3Arial11"/>
      </w:pPr>
    </w:p>
    <w:p w14:paraId="3ACADE45" w14:textId="77777777" w:rsidR="002217D4" w:rsidRDefault="002217D4" w:rsidP="00E70390">
      <w:pPr>
        <w:pStyle w:val="3Arial11"/>
      </w:pPr>
    </w:p>
    <w:p w14:paraId="6B957E91" w14:textId="00684279" w:rsidR="00EC73F3" w:rsidRDefault="00EC73F3" w:rsidP="00E70390">
      <w:pPr>
        <w:pStyle w:val="3Arial11"/>
      </w:pPr>
      <w:r>
        <w:lastRenderedPageBreak/>
        <w:t>Document Groups</w:t>
      </w:r>
    </w:p>
    <w:p w14:paraId="10F07B64" w14:textId="77777777" w:rsidR="00553EA1" w:rsidRPr="00E70390" w:rsidRDefault="00553EA1" w:rsidP="00553EA1">
      <w:pPr>
        <w:pStyle w:val="2BOLDArial11"/>
        <w:rPr>
          <w:b w:val="0"/>
          <w:bCs/>
        </w:rPr>
      </w:pPr>
      <w:r w:rsidRPr="00E70390">
        <w:rPr>
          <w:b w:val="0"/>
          <w:bCs/>
        </w:rPr>
        <w:t>TDA</w:t>
      </w:r>
      <w:r>
        <w:rPr>
          <w:b w:val="0"/>
          <w:bCs/>
        </w:rPr>
        <w:t xml:space="preserve"> program requirements use several documentation groupings to implement certain thresholds.  The documents required to be considered in compliance with each group are listed below:</w:t>
      </w:r>
    </w:p>
    <w:p w14:paraId="74A34284" w14:textId="77777777" w:rsidR="00EC73F3" w:rsidRDefault="00EC73F3" w:rsidP="00E70390">
      <w:pPr>
        <w:pStyle w:val="3Arial11"/>
      </w:pPr>
    </w:p>
    <w:p w14:paraId="62DE2B2C" w14:textId="6125726A" w:rsidR="00E70390" w:rsidRPr="005060C3" w:rsidRDefault="00E70390" w:rsidP="00E70390">
      <w:pPr>
        <w:pStyle w:val="3Arial11"/>
      </w:pPr>
      <w:r w:rsidRPr="005060C3">
        <w:t xml:space="preserve">Group A Documents </w:t>
      </w:r>
    </w:p>
    <w:p w14:paraId="10DD8D0F" w14:textId="2106F73D" w:rsidR="00E70390" w:rsidRDefault="00E70390" w:rsidP="00E70390">
      <w:pPr>
        <w:pStyle w:val="2Bulletedlist-Arial11"/>
      </w:pPr>
      <w:r>
        <w:t xml:space="preserve">Executed TxCDBG </w:t>
      </w:r>
      <w:r w:rsidR="005060C3">
        <w:t>G</w:t>
      </w:r>
      <w:r>
        <w:t xml:space="preserve">rant </w:t>
      </w:r>
      <w:proofErr w:type="gramStart"/>
      <w:r w:rsidR="005060C3">
        <w:t>A</w:t>
      </w:r>
      <w:r>
        <w:t>greement;</w:t>
      </w:r>
      <w:proofErr w:type="gramEnd"/>
    </w:p>
    <w:p w14:paraId="6415B650" w14:textId="5C9E9AAD" w:rsidR="00E70390" w:rsidRDefault="00E70390" w:rsidP="00E70390">
      <w:pPr>
        <w:pStyle w:val="2Bulletedlist-Arial11"/>
      </w:pPr>
      <w:r w:rsidRPr="002965B9">
        <w:rPr>
          <w:b/>
          <w:bCs/>
        </w:rPr>
        <w:t>Grant Overview</w:t>
      </w:r>
      <w:r>
        <w:rPr>
          <w:b/>
          <w:bCs/>
        </w:rPr>
        <w:t xml:space="preserve"> Page – </w:t>
      </w:r>
      <w:r w:rsidRPr="00F148F0">
        <w:t>The</w:t>
      </w:r>
      <w:r>
        <w:t xml:space="preserve"> section titled </w:t>
      </w:r>
      <w:r w:rsidRPr="005060C3">
        <w:rPr>
          <w:b/>
          <w:bCs/>
        </w:rPr>
        <w:t>Designated Personnel</w:t>
      </w:r>
      <w:r>
        <w:t xml:space="preserve"> must be </w:t>
      </w:r>
      <w:proofErr w:type="gramStart"/>
      <w:r>
        <w:t>completed;</w:t>
      </w:r>
      <w:proofErr w:type="gramEnd"/>
      <w:r>
        <w:t xml:space="preserve"> </w:t>
      </w:r>
    </w:p>
    <w:p w14:paraId="2FFFF427" w14:textId="77777777" w:rsidR="00E70390" w:rsidRDefault="00E70390" w:rsidP="00E70390">
      <w:pPr>
        <w:pStyle w:val="2Bulletedlist-Arial11"/>
        <w:numPr>
          <w:ilvl w:val="0"/>
          <w:numId w:val="0"/>
        </w:numPr>
      </w:pPr>
      <w:r>
        <w:rPr>
          <w:noProof/>
        </w:rPr>
        <w:drawing>
          <wp:anchor distT="0" distB="0" distL="114300" distR="114300" simplePos="0" relativeHeight="251670528" behindDoc="0" locked="0" layoutInCell="1" allowOverlap="1" wp14:anchorId="1CEEE0D5" wp14:editId="13340407">
            <wp:simplePos x="0" y="0"/>
            <wp:positionH relativeFrom="column">
              <wp:posOffset>474709</wp:posOffset>
            </wp:positionH>
            <wp:positionV relativeFrom="paragraph">
              <wp:posOffset>131634</wp:posOffset>
            </wp:positionV>
            <wp:extent cx="5798327" cy="3346315"/>
            <wp:effectExtent l="0" t="0" r="0" b="0"/>
            <wp:wrapNone/>
            <wp:docPr id="21" name="Picture 21" descr="Graphical user interface,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Graphical user interface, application, email&#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803022" cy="3349024"/>
                    </a:xfrm>
                    <a:prstGeom prst="rect">
                      <a:avLst/>
                    </a:prstGeom>
                  </pic:spPr>
                </pic:pic>
              </a:graphicData>
            </a:graphic>
            <wp14:sizeRelH relativeFrom="page">
              <wp14:pctWidth>0</wp14:pctWidth>
            </wp14:sizeRelH>
            <wp14:sizeRelV relativeFrom="page">
              <wp14:pctHeight>0</wp14:pctHeight>
            </wp14:sizeRelV>
          </wp:anchor>
        </w:drawing>
      </w:r>
    </w:p>
    <w:p w14:paraId="094654E3" w14:textId="77777777" w:rsidR="00E70390" w:rsidRDefault="00E70390" w:rsidP="00E70390">
      <w:pPr>
        <w:pStyle w:val="2Bulletedlist-Arial11"/>
        <w:numPr>
          <w:ilvl w:val="0"/>
          <w:numId w:val="0"/>
        </w:numPr>
      </w:pPr>
    </w:p>
    <w:p w14:paraId="6A333E56" w14:textId="77777777" w:rsidR="00E70390" w:rsidRDefault="00E70390" w:rsidP="00E70390">
      <w:pPr>
        <w:pStyle w:val="2Bulletedlist-Arial11"/>
        <w:numPr>
          <w:ilvl w:val="0"/>
          <w:numId w:val="0"/>
        </w:numPr>
      </w:pPr>
    </w:p>
    <w:p w14:paraId="4AEB5A15" w14:textId="77777777" w:rsidR="00E70390" w:rsidRDefault="00E70390" w:rsidP="00E70390">
      <w:pPr>
        <w:pStyle w:val="2Bulletedlist-Arial11"/>
        <w:numPr>
          <w:ilvl w:val="0"/>
          <w:numId w:val="0"/>
        </w:numPr>
        <w:ind w:left="720" w:hanging="360"/>
      </w:pPr>
    </w:p>
    <w:p w14:paraId="41EBC699" w14:textId="77777777" w:rsidR="00E70390" w:rsidRDefault="00E70390" w:rsidP="00E70390">
      <w:pPr>
        <w:pStyle w:val="2Bulletedlist-Arial11"/>
        <w:numPr>
          <w:ilvl w:val="0"/>
          <w:numId w:val="0"/>
        </w:numPr>
        <w:ind w:left="720" w:hanging="360"/>
      </w:pPr>
    </w:p>
    <w:p w14:paraId="0D2EB5CD" w14:textId="77777777" w:rsidR="00E70390" w:rsidRDefault="00E70390" w:rsidP="00E70390">
      <w:pPr>
        <w:pStyle w:val="2Bulletedlist-Arial11"/>
        <w:numPr>
          <w:ilvl w:val="0"/>
          <w:numId w:val="0"/>
        </w:numPr>
        <w:ind w:left="720" w:hanging="360"/>
      </w:pPr>
    </w:p>
    <w:p w14:paraId="54012142" w14:textId="77777777" w:rsidR="00E70390" w:rsidRDefault="00E70390" w:rsidP="00E70390">
      <w:pPr>
        <w:pStyle w:val="2Bulletedlist-Arial11"/>
        <w:numPr>
          <w:ilvl w:val="0"/>
          <w:numId w:val="0"/>
        </w:numPr>
        <w:ind w:left="720" w:hanging="360"/>
      </w:pPr>
    </w:p>
    <w:p w14:paraId="4A65CC20" w14:textId="77777777" w:rsidR="00E70390" w:rsidRDefault="00E70390" w:rsidP="00E70390">
      <w:pPr>
        <w:pStyle w:val="2Bulletedlist-Arial11"/>
        <w:numPr>
          <w:ilvl w:val="0"/>
          <w:numId w:val="0"/>
        </w:numPr>
        <w:ind w:left="720" w:hanging="360"/>
      </w:pPr>
    </w:p>
    <w:p w14:paraId="3E54B7B9" w14:textId="77777777" w:rsidR="00E70390" w:rsidRDefault="00E70390" w:rsidP="00E70390">
      <w:pPr>
        <w:pStyle w:val="2Bulletedlist-Arial11"/>
        <w:numPr>
          <w:ilvl w:val="0"/>
          <w:numId w:val="0"/>
        </w:numPr>
        <w:ind w:left="720" w:hanging="360"/>
      </w:pPr>
    </w:p>
    <w:p w14:paraId="531914B7" w14:textId="77777777" w:rsidR="00E70390" w:rsidRDefault="00E70390" w:rsidP="00E70390">
      <w:pPr>
        <w:pStyle w:val="2Bulletedlist-Arial11"/>
        <w:numPr>
          <w:ilvl w:val="0"/>
          <w:numId w:val="0"/>
        </w:numPr>
        <w:ind w:left="720" w:hanging="360"/>
      </w:pPr>
    </w:p>
    <w:p w14:paraId="043C8886" w14:textId="77777777" w:rsidR="00E70390" w:rsidRDefault="00E70390" w:rsidP="00E70390">
      <w:pPr>
        <w:pStyle w:val="2Bulletedlist-Arial11"/>
        <w:numPr>
          <w:ilvl w:val="0"/>
          <w:numId w:val="0"/>
        </w:numPr>
        <w:ind w:left="720" w:hanging="360"/>
      </w:pPr>
    </w:p>
    <w:p w14:paraId="214E4091" w14:textId="77777777" w:rsidR="00E70390" w:rsidRDefault="00E70390" w:rsidP="00E70390">
      <w:pPr>
        <w:pStyle w:val="2Bulletedlist-Arial11"/>
        <w:numPr>
          <w:ilvl w:val="0"/>
          <w:numId w:val="0"/>
        </w:numPr>
        <w:ind w:left="720" w:hanging="360"/>
      </w:pPr>
    </w:p>
    <w:p w14:paraId="520FC3E1" w14:textId="77777777" w:rsidR="00E70390" w:rsidRDefault="00E70390" w:rsidP="00E70390">
      <w:pPr>
        <w:pStyle w:val="2Bulletedlist-Arial11"/>
        <w:numPr>
          <w:ilvl w:val="0"/>
          <w:numId w:val="0"/>
        </w:numPr>
        <w:ind w:left="720" w:hanging="360"/>
      </w:pPr>
    </w:p>
    <w:p w14:paraId="41DA7A56" w14:textId="77777777" w:rsidR="00E70390" w:rsidRDefault="00E70390" w:rsidP="00E70390">
      <w:pPr>
        <w:pStyle w:val="2Bulletedlist-Arial11"/>
        <w:numPr>
          <w:ilvl w:val="0"/>
          <w:numId w:val="0"/>
        </w:numPr>
        <w:ind w:left="720" w:hanging="360"/>
      </w:pPr>
    </w:p>
    <w:p w14:paraId="759408C9" w14:textId="77777777" w:rsidR="00E70390" w:rsidRDefault="00E70390" w:rsidP="00E70390">
      <w:pPr>
        <w:pStyle w:val="2Bulletedlist-Arial11"/>
        <w:numPr>
          <w:ilvl w:val="0"/>
          <w:numId w:val="0"/>
        </w:numPr>
        <w:ind w:left="720" w:hanging="360"/>
      </w:pPr>
    </w:p>
    <w:p w14:paraId="4B21F52A" w14:textId="77777777" w:rsidR="00E70390" w:rsidRDefault="00E70390" w:rsidP="00E70390">
      <w:pPr>
        <w:pStyle w:val="2Bulletedlist-Arial11"/>
        <w:numPr>
          <w:ilvl w:val="0"/>
          <w:numId w:val="0"/>
        </w:numPr>
        <w:ind w:left="720" w:hanging="360"/>
      </w:pPr>
    </w:p>
    <w:p w14:paraId="70C726B2" w14:textId="77777777" w:rsidR="00E70390" w:rsidRDefault="00E70390" w:rsidP="00E70390">
      <w:pPr>
        <w:pStyle w:val="2Bulletedlist-Arial11"/>
        <w:numPr>
          <w:ilvl w:val="0"/>
          <w:numId w:val="0"/>
        </w:numPr>
        <w:ind w:left="720" w:hanging="360"/>
      </w:pPr>
    </w:p>
    <w:p w14:paraId="23245DB9" w14:textId="77777777" w:rsidR="00E70390" w:rsidRDefault="00E70390" w:rsidP="00E70390">
      <w:pPr>
        <w:pStyle w:val="2Bulletedlist-Arial11"/>
        <w:numPr>
          <w:ilvl w:val="0"/>
          <w:numId w:val="0"/>
        </w:numPr>
        <w:ind w:left="720" w:hanging="360"/>
      </w:pPr>
      <w:r>
        <w:rPr>
          <w:noProof/>
        </w:rPr>
        <mc:AlternateContent>
          <mc:Choice Requires="wps">
            <w:drawing>
              <wp:anchor distT="0" distB="0" distL="114300" distR="114300" simplePos="0" relativeHeight="251671552" behindDoc="0" locked="0" layoutInCell="1" allowOverlap="1" wp14:anchorId="4D8B404E" wp14:editId="722EE047">
                <wp:simplePos x="0" y="0"/>
                <wp:positionH relativeFrom="column">
                  <wp:posOffset>473627</wp:posOffset>
                </wp:positionH>
                <wp:positionV relativeFrom="paragraph">
                  <wp:posOffset>120811</wp:posOffset>
                </wp:positionV>
                <wp:extent cx="938964" cy="160721"/>
                <wp:effectExtent l="12700" t="12700" r="13970" b="17145"/>
                <wp:wrapNone/>
                <wp:docPr id="22" name="Rectangle 22"/>
                <wp:cNvGraphicFramePr/>
                <a:graphic xmlns:a="http://schemas.openxmlformats.org/drawingml/2006/main">
                  <a:graphicData uri="http://schemas.microsoft.com/office/word/2010/wordprocessingShape">
                    <wps:wsp>
                      <wps:cNvSpPr/>
                      <wps:spPr>
                        <a:xfrm>
                          <a:off x="0" y="0"/>
                          <a:ext cx="938964" cy="160721"/>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9988BB" id="Rectangle 22" o:spid="_x0000_s1026" style="position:absolute;margin-left:37.3pt;margin-top:9.5pt;width:73.95pt;height:12.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" filled="f" strokecolor="red" strokeweight="2.25pt"/>
            </w:pict>
          </mc:Fallback>
        </mc:AlternateContent>
      </w:r>
    </w:p>
    <w:p w14:paraId="452C3AC7" w14:textId="77777777" w:rsidR="00E70390" w:rsidRDefault="00E70390" w:rsidP="00553EA1">
      <w:pPr>
        <w:pStyle w:val="1BODY-Arial11"/>
      </w:pPr>
    </w:p>
    <w:p w14:paraId="4CD7C374" w14:textId="77777777" w:rsidR="00E70390" w:rsidRDefault="00E70390" w:rsidP="00553EA1">
      <w:pPr>
        <w:pStyle w:val="1BODY-Arial11"/>
      </w:pPr>
    </w:p>
    <w:p w14:paraId="0C7206D8" w14:textId="3A38557F" w:rsidR="00E70390" w:rsidRPr="005060C3" w:rsidRDefault="00E70390" w:rsidP="00553EA1">
      <w:pPr>
        <w:pStyle w:val="1BODY-Arial11"/>
        <w:rPr>
          <w:b/>
          <w:bCs/>
          <w:i/>
          <w:iCs/>
          <w:color w:val="4472C4"/>
          <w:sz w:val="18"/>
          <w:szCs w:val="18"/>
        </w:rPr>
      </w:pPr>
      <w:r w:rsidRPr="005060C3">
        <w:rPr>
          <w:b/>
          <w:bCs/>
          <w:i/>
          <w:iCs/>
          <w:color w:val="4472C4"/>
          <w:sz w:val="18"/>
          <w:szCs w:val="18"/>
        </w:rPr>
        <w:t xml:space="preserve">              Figure </w:t>
      </w:r>
      <w:r w:rsidR="0026140E" w:rsidRPr="005060C3">
        <w:rPr>
          <w:b/>
          <w:bCs/>
          <w:i/>
          <w:iCs/>
          <w:color w:val="4472C4"/>
          <w:sz w:val="18"/>
          <w:szCs w:val="18"/>
        </w:rPr>
        <w:t>3</w:t>
      </w:r>
      <w:r w:rsidRPr="005060C3">
        <w:rPr>
          <w:b/>
          <w:bCs/>
          <w:i/>
          <w:iCs/>
          <w:color w:val="4472C4"/>
          <w:sz w:val="18"/>
          <w:szCs w:val="18"/>
        </w:rPr>
        <w:t>. Grant Overview page</w:t>
      </w:r>
    </w:p>
    <w:p w14:paraId="0D7D4DCF" w14:textId="77777777" w:rsidR="00E70390" w:rsidRDefault="00E70390" w:rsidP="00E70390">
      <w:pPr>
        <w:pStyle w:val="2Bulletedlist-Arial11"/>
        <w:numPr>
          <w:ilvl w:val="0"/>
          <w:numId w:val="0"/>
        </w:numPr>
      </w:pPr>
    </w:p>
    <w:p w14:paraId="24E3799C" w14:textId="77777777" w:rsidR="00553EA1" w:rsidRDefault="00553EA1" w:rsidP="00553EA1">
      <w:pPr>
        <w:pStyle w:val="2Bulletedlist-Arial11"/>
      </w:pPr>
      <w:r w:rsidRPr="008C59E3">
        <w:rPr>
          <w:b/>
          <w:bCs/>
        </w:rPr>
        <w:t>Performance Report</w:t>
      </w:r>
      <w:r>
        <w:rPr>
          <w:b/>
          <w:bCs/>
        </w:rPr>
        <w:t xml:space="preserve"> </w:t>
      </w:r>
      <w:r w:rsidRPr="008C59E3">
        <w:rPr>
          <w:b/>
          <w:bCs/>
        </w:rPr>
        <w:t xml:space="preserve">– CDBG Group </w:t>
      </w:r>
      <w:proofErr w:type="gramStart"/>
      <w:r w:rsidRPr="008C59E3">
        <w:rPr>
          <w:b/>
          <w:bCs/>
        </w:rPr>
        <w:t>A</w:t>
      </w:r>
      <w:proofErr w:type="gramEnd"/>
      <w:r w:rsidRPr="008C59E3">
        <w:rPr>
          <w:b/>
          <w:bCs/>
        </w:rPr>
        <w:t xml:space="preserve"> Report</w:t>
      </w:r>
      <w:r w:rsidRPr="008C59E3">
        <w:t xml:space="preserve"> – </w:t>
      </w:r>
      <w:r w:rsidRPr="00EC73F3">
        <w:t>Upload all documents identified and</w:t>
      </w:r>
      <w:r>
        <w:t xml:space="preserve"> complete form details:</w:t>
      </w:r>
    </w:p>
    <w:p w14:paraId="45BD0E3E" w14:textId="77777777" w:rsidR="00553EA1" w:rsidRDefault="00553EA1" w:rsidP="00553EA1">
      <w:pPr>
        <w:pStyle w:val="2Bulletedlist-Arial11"/>
        <w:numPr>
          <w:ilvl w:val="1"/>
          <w:numId w:val="31"/>
        </w:numPr>
        <w:ind w:left="1080"/>
      </w:pPr>
      <w:r>
        <w:t>Resolution adopting or reaffirming community policies to comply with civil rights requirements. S</w:t>
      </w:r>
      <w:r w:rsidRPr="000E5F6A">
        <w:t xml:space="preserve">ee </w:t>
      </w:r>
      <w:r w:rsidRPr="00022469">
        <w:rPr>
          <w:i/>
          <w:iCs/>
        </w:rPr>
        <w:t xml:space="preserve">Chapter </w:t>
      </w:r>
      <w:proofErr w:type="gramStart"/>
      <w:r w:rsidRPr="00022469">
        <w:rPr>
          <w:i/>
          <w:iCs/>
        </w:rPr>
        <w:t>10</w:t>
      </w:r>
      <w:r>
        <w:t>;</w:t>
      </w:r>
      <w:proofErr w:type="gramEnd"/>
    </w:p>
    <w:p w14:paraId="00D83FB0" w14:textId="77777777" w:rsidR="00553EA1" w:rsidRDefault="00553EA1" w:rsidP="00553EA1">
      <w:pPr>
        <w:pStyle w:val="2Bulletedlist-Arial11"/>
        <w:numPr>
          <w:ilvl w:val="1"/>
          <w:numId w:val="31"/>
        </w:numPr>
        <w:ind w:left="1080"/>
      </w:pPr>
      <w:r>
        <w:t xml:space="preserve">Section 3 service area map. See </w:t>
      </w:r>
      <w:r w:rsidRPr="003A2254">
        <w:rPr>
          <w:i/>
          <w:iCs/>
        </w:rPr>
        <w:t xml:space="preserve">Chapter </w:t>
      </w:r>
      <w:proofErr w:type="gramStart"/>
      <w:r w:rsidRPr="003A2254">
        <w:rPr>
          <w:i/>
          <w:iCs/>
        </w:rPr>
        <w:t>10;</w:t>
      </w:r>
      <w:proofErr w:type="gramEnd"/>
    </w:p>
    <w:p w14:paraId="030FEA47" w14:textId="77777777" w:rsidR="00553EA1" w:rsidRDefault="00553EA1" w:rsidP="00553EA1">
      <w:pPr>
        <w:pStyle w:val="2Bulletedlist-Arial11"/>
        <w:numPr>
          <w:ilvl w:val="1"/>
          <w:numId w:val="31"/>
        </w:numPr>
        <w:ind w:left="1080"/>
      </w:pPr>
      <w:r>
        <w:t xml:space="preserve">Fair housing activities. See </w:t>
      </w:r>
      <w:r w:rsidRPr="00022469">
        <w:rPr>
          <w:i/>
          <w:iCs/>
        </w:rPr>
        <w:t xml:space="preserve">Chapter </w:t>
      </w:r>
      <w:proofErr w:type="gramStart"/>
      <w:r w:rsidRPr="00022469">
        <w:rPr>
          <w:i/>
          <w:iCs/>
        </w:rPr>
        <w:t>10</w:t>
      </w:r>
      <w:r>
        <w:rPr>
          <w:i/>
          <w:iCs/>
        </w:rPr>
        <w:t>;</w:t>
      </w:r>
      <w:proofErr w:type="gramEnd"/>
    </w:p>
    <w:p w14:paraId="149B6722" w14:textId="77777777" w:rsidR="00553EA1" w:rsidRDefault="00553EA1" w:rsidP="00553EA1">
      <w:pPr>
        <w:pStyle w:val="2Bulletedlist-Arial11"/>
        <w:numPr>
          <w:ilvl w:val="1"/>
          <w:numId w:val="31"/>
        </w:numPr>
        <w:ind w:left="1080"/>
      </w:pPr>
      <w:r>
        <w:t xml:space="preserve">Limited English proficiency plan – This plan must be specific to the location and the community or area served by the current project. See </w:t>
      </w:r>
      <w:r w:rsidRPr="00022469">
        <w:rPr>
          <w:i/>
          <w:iCs/>
        </w:rPr>
        <w:t>Chapter 10</w:t>
      </w:r>
      <w:r>
        <w:t>.</w:t>
      </w:r>
    </w:p>
    <w:p w14:paraId="05D1F1A8" w14:textId="40DAD965" w:rsidR="00E70390" w:rsidRDefault="008C59E3" w:rsidP="00E70390">
      <w:pPr>
        <w:pStyle w:val="2Bulletedlist-Arial11"/>
      </w:pPr>
      <w:r>
        <w:rPr>
          <w:b/>
          <w:bCs/>
        </w:rPr>
        <w:t xml:space="preserve">Related Documents – </w:t>
      </w:r>
      <w:r w:rsidR="00E70390" w:rsidRPr="002965B9">
        <w:rPr>
          <w:b/>
          <w:bCs/>
        </w:rPr>
        <w:t xml:space="preserve">Materials and Services </w:t>
      </w:r>
      <w:r>
        <w:rPr>
          <w:b/>
          <w:bCs/>
          <w:color w:val="000000" w:themeColor="text1"/>
        </w:rPr>
        <w:t>Report</w:t>
      </w:r>
      <w:r w:rsidR="00E70390" w:rsidRPr="002965B9">
        <w:rPr>
          <w:b/>
          <w:bCs/>
          <w:color w:val="000000" w:themeColor="text1"/>
        </w:rPr>
        <w:t xml:space="preserve"> (MSR)</w:t>
      </w:r>
      <w:r w:rsidR="00E70390" w:rsidRPr="00CE2AE0">
        <w:rPr>
          <w:color w:val="000000" w:themeColor="text1"/>
        </w:rPr>
        <w:t xml:space="preserve">: </w:t>
      </w:r>
      <w:r w:rsidR="00E70390">
        <w:t xml:space="preserve">The MSR must be submitted and accepted for each requested vendor or services provider. </w:t>
      </w:r>
      <w:r w:rsidR="00E70390" w:rsidRPr="00F83C81">
        <w:t>See</w:t>
      </w:r>
      <w:r w:rsidR="00E70390" w:rsidRPr="00F83C81">
        <w:rPr>
          <w:i/>
          <w:iCs/>
        </w:rPr>
        <w:t xml:space="preserve"> Chapter 5</w:t>
      </w:r>
      <w:r w:rsidR="00E70390">
        <w:t>.</w:t>
      </w:r>
    </w:p>
    <w:p w14:paraId="623080D6" w14:textId="77777777" w:rsidR="00E70390" w:rsidRPr="00393F35" w:rsidRDefault="00E70390" w:rsidP="00E70390">
      <w:pPr>
        <w:pStyle w:val="2Bulletedlist-Arial11"/>
        <w:numPr>
          <w:ilvl w:val="0"/>
          <w:numId w:val="0"/>
        </w:numPr>
        <w:ind w:left="720"/>
      </w:pPr>
    </w:p>
    <w:p w14:paraId="2A4EA61C" w14:textId="77777777" w:rsidR="00E70390" w:rsidRPr="005060C3" w:rsidRDefault="00E70390" w:rsidP="00E70390">
      <w:pPr>
        <w:pStyle w:val="3Arial11"/>
      </w:pPr>
      <w:r w:rsidRPr="005060C3">
        <w:t>Group B Documents</w:t>
      </w:r>
    </w:p>
    <w:p w14:paraId="504452A7" w14:textId="762B5736" w:rsidR="00553EA1" w:rsidRDefault="00553EA1" w:rsidP="00553EA1">
      <w:pPr>
        <w:pStyle w:val="2Bulletedlist-Arial11"/>
      </w:pPr>
      <w:r w:rsidRPr="002A0BB9">
        <w:rPr>
          <w:b/>
          <w:bCs/>
        </w:rPr>
        <w:t xml:space="preserve">Grant Overview </w:t>
      </w:r>
      <w:r>
        <w:rPr>
          <w:b/>
          <w:bCs/>
        </w:rPr>
        <w:t>Page</w:t>
      </w:r>
      <w:r w:rsidRPr="002D7054">
        <w:rPr>
          <w:b/>
          <w:bCs/>
        </w:rPr>
        <w:t xml:space="preserve"> </w:t>
      </w:r>
      <w:r w:rsidR="005060C3">
        <w:rPr>
          <w:b/>
          <w:bCs/>
        </w:rPr>
        <w:t xml:space="preserve">– </w:t>
      </w:r>
      <w:r w:rsidR="005060C3">
        <w:t>For</w:t>
      </w:r>
      <w:r>
        <w:t xml:space="preserve"> the Special Conditions section, upload documentation needed to satisfy all pre-construction conditions. See </w:t>
      </w:r>
      <w:r w:rsidRPr="00CF3260">
        <w:rPr>
          <w:i/>
          <w:iCs/>
        </w:rPr>
        <w:t>Chapter 4</w:t>
      </w:r>
      <w:r>
        <w:t>; and</w:t>
      </w:r>
    </w:p>
    <w:p w14:paraId="1921649A" w14:textId="77777777" w:rsidR="00E70390" w:rsidRPr="00022469" w:rsidRDefault="00E70390" w:rsidP="00E70390">
      <w:pPr>
        <w:pStyle w:val="2Bulletedlist-Arial11"/>
        <w:rPr>
          <w:i/>
          <w:iCs/>
        </w:rPr>
      </w:pPr>
      <w:r w:rsidRPr="002A0BB9">
        <w:rPr>
          <w:b/>
          <w:bCs/>
        </w:rPr>
        <w:t>Performance Report</w:t>
      </w:r>
      <w:r>
        <w:rPr>
          <w:b/>
          <w:bCs/>
        </w:rPr>
        <w:t xml:space="preserve"> – </w:t>
      </w:r>
      <w:r w:rsidRPr="002A0BB9">
        <w:rPr>
          <w:b/>
          <w:bCs/>
        </w:rPr>
        <w:t>CDBG Environmental</w:t>
      </w:r>
      <w:r>
        <w:t xml:space="preserve"> </w:t>
      </w:r>
      <w:r w:rsidRPr="002A0BB9">
        <w:rPr>
          <w:b/>
          <w:bCs/>
        </w:rPr>
        <w:t>Report</w:t>
      </w:r>
      <w:r>
        <w:t xml:space="preserve">. Authority to Use Grant Funds is approved by TDA staff. See </w:t>
      </w:r>
      <w:r w:rsidRPr="00022469">
        <w:rPr>
          <w:i/>
          <w:iCs/>
        </w:rPr>
        <w:t xml:space="preserve">Chapter </w:t>
      </w:r>
      <w:proofErr w:type="gramStart"/>
      <w:r w:rsidRPr="00022469">
        <w:rPr>
          <w:i/>
          <w:iCs/>
        </w:rPr>
        <w:t>3;</w:t>
      </w:r>
      <w:proofErr w:type="gramEnd"/>
    </w:p>
    <w:p w14:paraId="311D2DEE" w14:textId="77777777" w:rsidR="00E70390" w:rsidRDefault="00E70390" w:rsidP="00E70390">
      <w:pPr>
        <w:pStyle w:val="2Bulletedlist-Arial11"/>
      </w:pPr>
      <w:r w:rsidRPr="002A0BB9">
        <w:rPr>
          <w:b/>
          <w:bCs/>
        </w:rPr>
        <w:t>Performance Report</w:t>
      </w:r>
      <w:r>
        <w:rPr>
          <w:b/>
          <w:bCs/>
        </w:rPr>
        <w:t xml:space="preserve"> – </w:t>
      </w:r>
      <w:r w:rsidRPr="002A0BB9">
        <w:rPr>
          <w:b/>
          <w:bCs/>
        </w:rPr>
        <w:t>CDBG Acquisition Report</w:t>
      </w:r>
      <w:r>
        <w:t xml:space="preserve">. Acquisition Plan page AND Acquired Parcel page must be completed for each property related to the construction activity. See </w:t>
      </w:r>
      <w:r w:rsidRPr="00CF3260">
        <w:rPr>
          <w:i/>
          <w:iCs/>
        </w:rPr>
        <w:t xml:space="preserve">Chapter </w:t>
      </w:r>
      <w:proofErr w:type="gramStart"/>
      <w:r w:rsidRPr="00CF3260">
        <w:rPr>
          <w:i/>
          <w:iCs/>
        </w:rPr>
        <w:t>6</w:t>
      </w:r>
      <w:r>
        <w:t>;</w:t>
      </w:r>
      <w:proofErr w:type="gramEnd"/>
    </w:p>
    <w:p w14:paraId="35096011" w14:textId="104FFC3D" w:rsidR="008C59E3" w:rsidRDefault="008C59E3" w:rsidP="008C59E3">
      <w:pPr>
        <w:pStyle w:val="2Bulletedlist-Arial11"/>
      </w:pPr>
      <w:r>
        <w:rPr>
          <w:b/>
          <w:bCs/>
        </w:rPr>
        <w:lastRenderedPageBreak/>
        <w:t xml:space="preserve">Performance Report – CDBG Group </w:t>
      </w:r>
      <w:r w:rsidRPr="002A0BB9">
        <w:rPr>
          <w:b/>
          <w:bCs/>
        </w:rPr>
        <w:t>B</w:t>
      </w:r>
      <w:r>
        <w:rPr>
          <w:b/>
          <w:bCs/>
        </w:rPr>
        <w:t xml:space="preserve"> Report</w:t>
      </w:r>
      <w:r w:rsidR="005060C3">
        <w:rPr>
          <w:b/>
          <w:bCs/>
        </w:rPr>
        <w:t xml:space="preserve"> – </w:t>
      </w:r>
      <w:r>
        <w:t xml:space="preserve">Upload these documents and complete form details: </w:t>
      </w:r>
    </w:p>
    <w:p w14:paraId="43B73814" w14:textId="77777777" w:rsidR="008C59E3" w:rsidRDefault="008C59E3" w:rsidP="008C59E3">
      <w:pPr>
        <w:pStyle w:val="2Bulletedlist-Arial11"/>
        <w:numPr>
          <w:ilvl w:val="1"/>
          <w:numId w:val="31"/>
        </w:numPr>
        <w:ind w:left="1080"/>
      </w:pPr>
      <w:r>
        <w:t>Section 3 presentation meeting notes and/or agenda at public meeting; and</w:t>
      </w:r>
    </w:p>
    <w:p w14:paraId="66EF312D" w14:textId="77777777" w:rsidR="008C59E3" w:rsidRDefault="008C59E3" w:rsidP="008C59E3">
      <w:pPr>
        <w:pStyle w:val="2Bulletedlist-Arial11"/>
        <w:numPr>
          <w:ilvl w:val="1"/>
          <w:numId w:val="31"/>
        </w:numPr>
        <w:ind w:left="1080"/>
      </w:pPr>
      <w:r>
        <w:t>Photo of temporary signage</w:t>
      </w:r>
    </w:p>
    <w:p w14:paraId="4777CFF6" w14:textId="6360642C" w:rsidR="00E70390" w:rsidRDefault="00E70390" w:rsidP="00E70390">
      <w:pPr>
        <w:pStyle w:val="2Bulletedlist-Arial11"/>
      </w:pPr>
      <w:r>
        <w:rPr>
          <w:b/>
          <w:bCs/>
        </w:rPr>
        <w:t>Related Documents – Materials and Service Report (</w:t>
      </w:r>
      <w:r w:rsidRPr="002A0BB9">
        <w:rPr>
          <w:b/>
          <w:bCs/>
        </w:rPr>
        <w:t>MSR</w:t>
      </w:r>
      <w:r>
        <w:rPr>
          <w:b/>
          <w:bCs/>
        </w:rPr>
        <w:t>)</w:t>
      </w:r>
      <w:r w:rsidR="005060C3">
        <w:rPr>
          <w:b/>
          <w:bCs/>
        </w:rPr>
        <w:t xml:space="preserve"> – </w:t>
      </w:r>
      <w:r>
        <w:t xml:space="preserve">A separate MSR report must be completed for each requested vendor or services provider. </w:t>
      </w:r>
      <w:r w:rsidR="009A6603" w:rsidRPr="009A6603">
        <w:t>To satisfy Group B, at least one MSR submitted in TDA-GO must document execution of a contract for construction. Non-construction grants must document execution of a contract for the primary grant activity</w:t>
      </w:r>
      <w:r w:rsidR="009A6603">
        <w:t xml:space="preserve">. </w:t>
      </w:r>
      <w:r>
        <w:t xml:space="preserve">See </w:t>
      </w:r>
      <w:r w:rsidRPr="00CF3260">
        <w:rPr>
          <w:i/>
          <w:iCs/>
        </w:rPr>
        <w:t>Chapter 5</w:t>
      </w:r>
      <w:r w:rsidR="009A6603">
        <w:t>.</w:t>
      </w:r>
    </w:p>
    <w:p w14:paraId="2E13DBF2" w14:textId="77777777" w:rsidR="00E70390" w:rsidRDefault="00E70390" w:rsidP="00E703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0"/>
          <w:szCs w:val="22"/>
          <w:u w:val="single"/>
        </w:rPr>
      </w:pPr>
    </w:p>
    <w:p w14:paraId="2FA01F9A" w14:textId="77777777" w:rsidR="00E70390" w:rsidRPr="005060C3" w:rsidRDefault="00E70390" w:rsidP="00E70390">
      <w:pPr>
        <w:pStyle w:val="3Arial11"/>
      </w:pPr>
      <w:r w:rsidRPr="005060C3">
        <w:t xml:space="preserve">Group C Documents </w:t>
      </w:r>
    </w:p>
    <w:p w14:paraId="5C63A4A1" w14:textId="706268A7" w:rsidR="00553EA1" w:rsidRDefault="00553EA1" w:rsidP="00553EA1">
      <w:pPr>
        <w:pStyle w:val="2Bulletedlist-Arial11"/>
      </w:pPr>
      <w:r w:rsidRPr="00030D3F">
        <w:rPr>
          <w:b/>
          <w:bCs/>
        </w:rPr>
        <w:t>Grant Overview</w:t>
      </w:r>
      <w:r>
        <w:rPr>
          <w:b/>
          <w:bCs/>
        </w:rPr>
        <w:t xml:space="preserve"> Page</w:t>
      </w:r>
      <w:r w:rsidR="005060C3">
        <w:rPr>
          <w:b/>
          <w:bCs/>
        </w:rPr>
        <w:t xml:space="preserve"> – </w:t>
      </w:r>
      <w:r>
        <w:t xml:space="preserve">For the Special Conditions section, upload documentation needed to satisfy all construction-related conditions. See </w:t>
      </w:r>
      <w:r w:rsidRPr="00CF3260">
        <w:rPr>
          <w:i/>
          <w:iCs/>
        </w:rPr>
        <w:t xml:space="preserve">Chapter </w:t>
      </w:r>
      <w:proofErr w:type="gramStart"/>
      <w:r w:rsidRPr="00CF3260">
        <w:rPr>
          <w:i/>
          <w:iCs/>
        </w:rPr>
        <w:t>4</w:t>
      </w:r>
      <w:r>
        <w:t>;</w:t>
      </w:r>
      <w:proofErr w:type="gramEnd"/>
      <w:r>
        <w:t xml:space="preserve"> </w:t>
      </w:r>
    </w:p>
    <w:p w14:paraId="06AE5B77" w14:textId="2C3DE4EE" w:rsidR="00E70390" w:rsidRDefault="00E70390" w:rsidP="00E70390">
      <w:pPr>
        <w:pStyle w:val="2Bulletedlist-Arial11"/>
      </w:pPr>
      <w:r>
        <w:rPr>
          <w:b/>
          <w:bCs/>
        </w:rPr>
        <w:t>Related Documents – Materials and Service Report</w:t>
      </w:r>
      <w:r w:rsidRPr="00030D3F">
        <w:rPr>
          <w:b/>
          <w:bCs/>
        </w:rPr>
        <w:t xml:space="preserve"> (MSR)</w:t>
      </w:r>
      <w:r>
        <w:rPr>
          <w:b/>
          <w:bCs/>
        </w:rPr>
        <w:t xml:space="preserve"> form</w:t>
      </w:r>
      <w:r w:rsidR="005060C3">
        <w:rPr>
          <w:b/>
          <w:bCs/>
        </w:rPr>
        <w:t xml:space="preserve"> – </w:t>
      </w:r>
      <w:r>
        <w:t xml:space="preserve">All sections, including the MSR </w:t>
      </w:r>
      <w:r w:rsidR="008C59E3">
        <w:t>Final Wage Compliance (if applicable) and Work Completed</w:t>
      </w:r>
      <w:r>
        <w:t xml:space="preserve"> page</w:t>
      </w:r>
      <w:r w:rsidR="008C59E3">
        <w:t>s</w:t>
      </w:r>
      <w:r>
        <w:t>, must be completed for all vendors or services providers, documenting that</w:t>
      </w:r>
      <w:r w:rsidRPr="00D41594">
        <w:t xml:space="preserve"> </w:t>
      </w:r>
      <w:r w:rsidRPr="00A305C3">
        <w:rPr>
          <w:b/>
        </w:rPr>
        <w:t>all</w:t>
      </w:r>
      <w:r w:rsidRPr="00D41594">
        <w:t xml:space="preserve"> programmatic requirements are met, </w:t>
      </w:r>
      <w:r w:rsidRPr="00A305C3">
        <w:rPr>
          <w:b/>
        </w:rPr>
        <w:t>all</w:t>
      </w:r>
      <w:r w:rsidRPr="00D41594">
        <w:t xml:space="preserve"> claims and disputes have been settled, </w:t>
      </w:r>
      <w:r w:rsidRPr="00A305C3">
        <w:rPr>
          <w:b/>
        </w:rPr>
        <w:t>all</w:t>
      </w:r>
      <w:r w:rsidRPr="00D41594">
        <w:t xml:space="preserve"> warranties have been received, and </w:t>
      </w:r>
      <w:r w:rsidRPr="00A305C3">
        <w:rPr>
          <w:b/>
        </w:rPr>
        <w:t>all</w:t>
      </w:r>
      <w:r w:rsidRPr="00D41594">
        <w:t xml:space="preserve"> liens have been released</w:t>
      </w:r>
      <w:r>
        <w:t xml:space="preserve">. See </w:t>
      </w:r>
      <w:r w:rsidRPr="00CF3260">
        <w:rPr>
          <w:i/>
          <w:iCs/>
        </w:rPr>
        <w:t>Chapter 5</w:t>
      </w:r>
      <w:r>
        <w:t>;</w:t>
      </w:r>
      <w:r w:rsidR="00553EA1">
        <w:t xml:space="preserve"> and</w:t>
      </w:r>
    </w:p>
    <w:p w14:paraId="5BCE5D8D" w14:textId="2892017E" w:rsidR="00E70390" w:rsidRPr="00A305C3" w:rsidRDefault="008C59E3" w:rsidP="00E70390">
      <w:pPr>
        <w:pStyle w:val="2Bulletedlist-Arial11"/>
      </w:pPr>
      <w:r w:rsidRPr="008C59E3">
        <w:rPr>
          <w:b/>
          <w:bCs/>
        </w:rPr>
        <w:t>Related Documents - Payment Requests</w:t>
      </w:r>
      <w:r w:rsidR="005060C3">
        <w:rPr>
          <w:b/>
          <w:bCs/>
        </w:rPr>
        <w:t xml:space="preserve"> – </w:t>
      </w:r>
      <w:r w:rsidR="00E70390">
        <w:t xml:space="preserve">Invoices or similar documentation for costs greater than or equal to amount </w:t>
      </w:r>
      <w:r>
        <w:t xml:space="preserve">of matching funds </w:t>
      </w:r>
      <w:r w:rsidR="00E70390">
        <w:t>required by the grant agreement.</w:t>
      </w:r>
    </w:p>
    <w:p w14:paraId="16E7DC6B" w14:textId="77777777" w:rsidR="00E70390" w:rsidRDefault="00E70390" w:rsidP="00E70390">
      <w:pPr>
        <w:pStyle w:val="1BODY-Arial11"/>
      </w:pPr>
    </w:p>
    <w:p w14:paraId="029B286A" w14:textId="77777777" w:rsidR="00E70390" w:rsidRPr="005060C3" w:rsidRDefault="00E70390" w:rsidP="00E70390">
      <w:pPr>
        <w:pStyle w:val="3Arial11"/>
      </w:pPr>
      <w:r w:rsidRPr="005060C3">
        <w:t xml:space="preserve">Group D Documents </w:t>
      </w:r>
    </w:p>
    <w:p w14:paraId="235ABABB" w14:textId="77777777" w:rsidR="00E70390" w:rsidRDefault="00E70390" w:rsidP="00E70390">
      <w:pPr>
        <w:pStyle w:val="2Bulletedlist-Arial11"/>
      </w:pPr>
      <w:r>
        <w:t xml:space="preserve">Final payment </w:t>
      </w:r>
      <w:proofErr w:type="gramStart"/>
      <w:r>
        <w:t>request;</w:t>
      </w:r>
      <w:proofErr w:type="gramEnd"/>
    </w:p>
    <w:p w14:paraId="6ABA65C8" w14:textId="246EC5DD" w:rsidR="00E70390" w:rsidRDefault="00E70390" w:rsidP="00E70390">
      <w:pPr>
        <w:pStyle w:val="2Bulletedlist-Arial11"/>
      </w:pPr>
      <w:r>
        <w:t>Project Completion Report; and</w:t>
      </w:r>
    </w:p>
    <w:p w14:paraId="0BDF9F4C" w14:textId="77777777" w:rsidR="00E70390" w:rsidRPr="00BC0C75" w:rsidRDefault="00E70390" w:rsidP="00E70390">
      <w:pPr>
        <w:pStyle w:val="2Bulletedlist-Arial11"/>
      </w:pPr>
      <w:r>
        <w:t xml:space="preserve">All requested documentation for monitoring review(s), see </w:t>
      </w:r>
      <w:r w:rsidRPr="00022469">
        <w:rPr>
          <w:i/>
          <w:iCs/>
        </w:rPr>
        <w:t>Chapter 13.</w:t>
      </w:r>
    </w:p>
    <w:p w14:paraId="6753976D" w14:textId="77777777" w:rsidR="00EC73F3" w:rsidRDefault="00EC73F3" w:rsidP="006A229F">
      <w:pPr>
        <w:pStyle w:val="2BOLDArial11"/>
      </w:pPr>
    </w:p>
    <w:p w14:paraId="6C11E81B" w14:textId="710C9117" w:rsidR="008D4E7C" w:rsidRPr="006A229F" w:rsidRDefault="00F11072" w:rsidP="006A229F">
      <w:pPr>
        <w:pStyle w:val="2BOLDArial11"/>
      </w:pPr>
      <w:r w:rsidRPr="006A229F">
        <w:t xml:space="preserve">The </w:t>
      </w:r>
      <w:r w:rsidR="00B65D65">
        <w:t>Mid-</w:t>
      </w:r>
      <w:r w:rsidR="00EC73F3">
        <w:t xml:space="preserve">Point </w:t>
      </w:r>
      <w:r w:rsidR="00B65D65">
        <w:t xml:space="preserve">Progress </w:t>
      </w:r>
      <w:r w:rsidR="00EC73F3">
        <w:t>Threshold</w:t>
      </w:r>
      <w:r w:rsidR="00EC73F3" w:rsidRPr="006A229F">
        <w:t xml:space="preserve"> </w:t>
      </w:r>
    </w:p>
    <w:p w14:paraId="0602500C" w14:textId="7CB7A4A5" w:rsidR="005A5CBB" w:rsidRDefault="002360E6" w:rsidP="00F641FD">
      <w:pPr>
        <w:pStyle w:val="1BODY-Arial11"/>
      </w:pPr>
      <w:r w:rsidRPr="00522711">
        <w:t>T</w:t>
      </w:r>
      <w:r w:rsidR="00C11CE0" w:rsidRPr="00522711">
        <w:t>he Grant Recipient must submit all</w:t>
      </w:r>
      <w:r w:rsidRPr="00522711">
        <w:t xml:space="preserve"> </w:t>
      </w:r>
      <w:r w:rsidR="00C11CE0" w:rsidRPr="00522711">
        <w:t>Group A</w:t>
      </w:r>
      <w:r w:rsidR="00A20DB2">
        <w:t xml:space="preserve"> and </w:t>
      </w:r>
      <w:r w:rsidR="00C11CE0" w:rsidRPr="00522711">
        <w:t>Group B</w:t>
      </w:r>
      <w:r w:rsidR="00A20DB2">
        <w:t xml:space="preserve"> documents</w:t>
      </w:r>
      <w:r w:rsidR="005A5CBB" w:rsidRPr="00522711">
        <w:t xml:space="preserve"> </w:t>
      </w:r>
      <w:r w:rsidR="00B65D65">
        <w:t xml:space="preserve">by the date </w:t>
      </w:r>
      <w:r w:rsidR="006D7CE3">
        <w:t>identified</w:t>
      </w:r>
      <w:r w:rsidR="00B65D65">
        <w:t xml:space="preserve"> </w:t>
      </w:r>
      <w:r w:rsidR="006D7CE3">
        <w:t xml:space="preserve">as </w:t>
      </w:r>
      <w:r w:rsidR="00B65D65" w:rsidRPr="005060C3">
        <w:rPr>
          <w:b/>
          <w:bCs/>
        </w:rPr>
        <w:t>Group B Forms Required to Be Complete</w:t>
      </w:r>
      <w:r w:rsidR="00B65D65" w:rsidRPr="00997D7D">
        <w:rPr>
          <w:i/>
          <w:iCs/>
        </w:rPr>
        <w:t xml:space="preserve"> </w:t>
      </w:r>
      <w:r w:rsidR="00E8669D" w:rsidRPr="00A20DB2">
        <w:t>in the Grant Agreement</w:t>
      </w:r>
      <w:r w:rsidR="00E8669D">
        <w:t xml:space="preserve"> </w:t>
      </w:r>
      <w:r w:rsidR="00E8669D" w:rsidRPr="005060C3">
        <w:rPr>
          <w:i/>
          <w:iCs/>
        </w:rPr>
        <w:t>Exhibit A, Section C</w:t>
      </w:r>
      <w:r w:rsidR="00C11CE0" w:rsidRPr="005060C3">
        <w:rPr>
          <w:i/>
          <w:iCs/>
        </w:rPr>
        <w:t>.</w:t>
      </w:r>
    </w:p>
    <w:p w14:paraId="1FE4CC52" w14:textId="77777777" w:rsidR="00A0658D" w:rsidRDefault="00A0658D" w:rsidP="00F641FD">
      <w:pPr>
        <w:pStyle w:val="1BODY-Arial11"/>
      </w:pPr>
    </w:p>
    <w:p w14:paraId="7C973363" w14:textId="24C59D2F" w:rsidR="00C11CE0" w:rsidRPr="00F641FD" w:rsidRDefault="00EC73F3" w:rsidP="0026140E">
      <w:pPr>
        <w:pStyle w:val="1BODY-Arial11"/>
      </w:pPr>
      <w:r w:rsidRPr="00522711">
        <w:t xml:space="preserve">If a Grant Recipient fails to meet this requirement, TDA will begin the process of </w:t>
      </w:r>
      <w:r w:rsidR="00DC515B">
        <w:t>agreement</w:t>
      </w:r>
      <w:r w:rsidRPr="00522711">
        <w:t xml:space="preserve"> termination.</w:t>
      </w:r>
      <w:r>
        <w:t xml:space="preserve"> </w:t>
      </w:r>
      <w:r w:rsidR="005A5CBB" w:rsidRPr="00522711">
        <w:t xml:space="preserve">The TxCDBG </w:t>
      </w:r>
      <w:r>
        <w:t>agreement</w:t>
      </w:r>
      <w:r w:rsidRPr="00522711">
        <w:t xml:space="preserve"> </w:t>
      </w:r>
      <w:r w:rsidR="005A5CBB" w:rsidRPr="00522711">
        <w:t xml:space="preserve">ensures that the Grant Recipient will have an opportunity to resolve the deficiency as a part of the termination proceedings. For non-compliance with the </w:t>
      </w:r>
      <w:r w:rsidR="00E8669D">
        <w:t>Mid-</w:t>
      </w:r>
      <w:r>
        <w:t xml:space="preserve">Point </w:t>
      </w:r>
      <w:r w:rsidR="00E8669D">
        <w:t>Progress</w:t>
      </w:r>
      <w:r w:rsidR="005A5CBB" w:rsidRPr="00522711">
        <w:t xml:space="preserve"> </w:t>
      </w:r>
      <w:r>
        <w:t>Threshold</w:t>
      </w:r>
      <w:r w:rsidR="00447A2F">
        <w:t>, TDA will initiate a Mid-Point Progress Report in TDA-GO</w:t>
      </w:r>
      <w:r w:rsidR="005060C3">
        <w:t>. T</w:t>
      </w:r>
      <w:r w:rsidR="00447A2F">
        <w:t xml:space="preserve">he Grant Recipient must complete and submit this form </w:t>
      </w:r>
      <w:r w:rsidR="005A5CBB" w:rsidRPr="00F641FD">
        <w:t xml:space="preserve">within 30 days of the </w:t>
      </w:r>
      <w:r w:rsidR="00E8669D">
        <w:t>report’s initiation</w:t>
      </w:r>
      <w:r w:rsidR="005A5CBB" w:rsidRPr="00F641FD">
        <w:t>, providing a justification for the delay and a schedule for completing the Group A and Group B requirements.</w:t>
      </w:r>
      <w:r w:rsidR="005060C3">
        <w:t xml:space="preserve"> </w:t>
      </w:r>
      <w:r w:rsidR="00784105">
        <w:t>TDA will evaluate the response and may continue termination proceedings or suspend those proceedings pending documentation of the Grant Recipient’s progress based on the newly proposed schedule.</w:t>
      </w:r>
    </w:p>
    <w:p w14:paraId="1746614E" w14:textId="77777777" w:rsidR="007819CD" w:rsidRPr="00522711" w:rsidRDefault="007819CD" w:rsidP="007819CD">
      <w:pPr>
        <w:rPr>
          <w:rFonts w:ascii="Arial" w:hAnsi="Arial" w:cs="Arial"/>
          <w:b/>
          <w:sz w:val="22"/>
          <w:szCs w:val="22"/>
        </w:rPr>
      </w:pPr>
    </w:p>
    <w:p w14:paraId="048A20A1" w14:textId="115D3600" w:rsidR="00F641FD" w:rsidRDefault="00EC73F3" w:rsidP="00F641FD">
      <w:pPr>
        <w:pStyle w:val="1BODY-Arial11"/>
        <w:rPr>
          <w:b/>
        </w:rPr>
      </w:pPr>
      <w:r>
        <w:rPr>
          <w:b/>
        </w:rPr>
        <w:t>Thresholds for</w:t>
      </w:r>
      <w:r w:rsidRPr="00522711">
        <w:rPr>
          <w:b/>
        </w:rPr>
        <w:t xml:space="preserve"> </w:t>
      </w:r>
      <w:r>
        <w:rPr>
          <w:b/>
        </w:rPr>
        <w:t xml:space="preserve">New </w:t>
      </w:r>
      <w:r w:rsidR="003545CC" w:rsidRPr="00522711">
        <w:rPr>
          <w:b/>
        </w:rPr>
        <w:t xml:space="preserve">Applications </w:t>
      </w:r>
      <w:r>
        <w:rPr>
          <w:b/>
        </w:rPr>
        <w:t xml:space="preserve">Submitted </w:t>
      </w:r>
      <w:r w:rsidR="00F641FD" w:rsidRPr="00376CCD">
        <w:rPr>
          <w:b/>
          <w:bCs/>
        </w:rPr>
        <w:t>A</w:t>
      </w:r>
      <w:r w:rsidR="003545CC" w:rsidRPr="00522711">
        <w:rPr>
          <w:b/>
        </w:rPr>
        <w:t xml:space="preserve">fter the Award of a TxCDBG </w:t>
      </w:r>
      <w:r w:rsidRPr="00EC73F3">
        <w:rPr>
          <w:b/>
          <w:bCs/>
        </w:rPr>
        <w:t>Agreement</w:t>
      </w:r>
    </w:p>
    <w:p w14:paraId="19E41EFC" w14:textId="3FED5C44" w:rsidR="00A7345A" w:rsidRDefault="004F3905" w:rsidP="00F641FD">
      <w:pPr>
        <w:pStyle w:val="1BODY-Arial11"/>
      </w:pPr>
      <w:r w:rsidRPr="00E17B20">
        <w:t xml:space="preserve">The </w:t>
      </w:r>
      <w:r w:rsidR="00376CCD">
        <w:t xml:space="preserve">Grant Applicant </w:t>
      </w:r>
      <w:r w:rsidRPr="00E17B20">
        <w:t xml:space="preserve">must demonstrate progress in all current open </w:t>
      </w:r>
      <w:r w:rsidR="00EC73F3">
        <w:t>grant agreements</w:t>
      </w:r>
      <w:r w:rsidR="00EC73F3" w:rsidRPr="00E17B20">
        <w:t xml:space="preserve"> </w:t>
      </w:r>
      <w:r w:rsidRPr="00E17B20">
        <w:t xml:space="preserve">to be eligible to </w:t>
      </w:r>
      <w:proofErr w:type="gramStart"/>
      <w:r w:rsidRPr="00E17B20">
        <w:t>submit an application</w:t>
      </w:r>
      <w:proofErr w:type="gramEnd"/>
      <w:r w:rsidRPr="00E17B20">
        <w:t>.</w:t>
      </w:r>
      <w:r w:rsidR="00376CCD">
        <w:t xml:space="preserve"> </w:t>
      </w:r>
      <w:r w:rsidRPr="00E17B20">
        <w:t xml:space="preserve">See the following </w:t>
      </w:r>
      <w:r w:rsidR="00D562A2" w:rsidRPr="00E17B20">
        <w:t xml:space="preserve">example </w:t>
      </w:r>
      <w:r w:rsidR="00724F2F" w:rsidRPr="00E17B20">
        <w:t xml:space="preserve">progress </w:t>
      </w:r>
      <w:r w:rsidRPr="00E17B20">
        <w:t>threshold</w:t>
      </w:r>
      <w:r w:rsidR="00A450A6">
        <w:t xml:space="preserve"> </w:t>
      </w:r>
      <w:r w:rsidRPr="00E17B20">
        <w:t>requirements for all TxCDBG fund categories</w:t>
      </w:r>
      <w:r w:rsidR="00D562A2" w:rsidRPr="00E17B20">
        <w:t>.</w:t>
      </w:r>
      <w:r w:rsidR="00376CCD">
        <w:t xml:space="preserve"> The Grant </w:t>
      </w:r>
      <w:r w:rsidR="00D562A2" w:rsidRPr="00E17B20">
        <w:t xml:space="preserve">Applicant </w:t>
      </w:r>
      <w:r w:rsidR="00770C6B">
        <w:t>P</w:t>
      </w:r>
      <w:r w:rsidR="00BE1010">
        <w:t xml:space="preserve">rogress </w:t>
      </w:r>
      <w:r w:rsidR="00770C6B">
        <w:t>T</w:t>
      </w:r>
      <w:r w:rsidR="00D562A2" w:rsidRPr="00E17B20">
        <w:t xml:space="preserve">hresholds included in each </w:t>
      </w:r>
      <w:r w:rsidR="00376CCD">
        <w:t>a</w:t>
      </w:r>
      <w:r w:rsidR="00D562A2" w:rsidRPr="00E17B20">
        <w:t xml:space="preserve">pplication </w:t>
      </w:r>
      <w:r w:rsidR="00376CCD">
        <w:t>g</w:t>
      </w:r>
      <w:r w:rsidR="00D562A2" w:rsidRPr="00E17B20">
        <w:t xml:space="preserve">uide may vary from the example table below; the </w:t>
      </w:r>
      <w:r w:rsidR="00784105">
        <w:t xml:space="preserve">Request for </w:t>
      </w:r>
      <w:r w:rsidR="00D562A2" w:rsidRPr="00E17B20">
        <w:t xml:space="preserve">Application </w:t>
      </w:r>
      <w:r w:rsidR="00784105">
        <w:t xml:space="preserve">and </w:t>
      </w:r>
      <w:r w:rsidR="00D562A2" w:rsidRPr="00E17B20">
        <w:t>Guide thresholds will supersede this chapter.</w:t>
      </w:r>
    </w:p>
    <w:p w14:paraId="59259EBF" w14:textId="4C2BD6E9" w:rsidR="00A450A6" w:rsidRDefault="00A450A6" w:rsidP="007819CD"/>
    <w:p w14:paraId="48E08362" w14:textId="681D1F2A" w:rsidR="005060C3" w:rsidRDefault="005060C3" w:rsidP="007819CD"/>
    <w:p w14:paraId="404182EC" w14:textId="2C486A75" w:rsidR="005060C3" w:rsidRDefault="005060C3" w:rsidP="007819CD"/>
    <w:p w14:paraId="7128D25C" w14:textId="461AF4AE" w:rsidR="005060C3" w:rsidRDefault="005060C3" w:rsidP="007819CD"/>
    <w:p w14:paraId="1329885D" w14:textId="3B610066" w:rsidR="005060C3" w:rsidRDefault="005060C3" w:rsidP="007819CD"/>
    <w:p w14:paraId="13590DC4" w14:textId="5A71E155" w:rsidR="005060C3" w:rsidRDefault="005060C3" w:rsidP="007819CD"/>
    <w:p w14:paraId="5DDE5E82" w14:textId="77777777" w:rsidR="005060C3" w:rsidRPr="00E17B20" w:rsidRDefault="005060C3" w:rsidP="007819CD"/>
    <w:tbl>
      <w:tblPr>
        <w:tblW w:w="8990" w:type="dxa"/>
        <w:tblCellMar>
          <w:left w:w="0" w:type="dxa"/>
          <w:right w:w="0" w:type="dxa"/>
        </w:tblCellMar>
        <w:tblLook w:val="04A0" w:firstRow="1" w:lastRow="0" w:firstColumn="1" w:lastColumn="0" w:noHBand="0" w:noVBand="1"/>
      </w:tblPr>
      <w:tblGrid>
        <w:gridCol w:w="2696"/>
        <w:gridCol w:w="1261"/>
        <w:gridCol w:w="2513"/>
        <w:gridCol w:w="2520"/>
      </w:tblGrid>
      <w:tr w:rsidR="006A033F" w:rsidRPr="00E17B20" w14:paraId="0988EF42" w14:textId="77777777" w:rsidTr="003E72B7">
        <w:tc>
          <w:tcPr>
            <w:tcW w:w="26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0CB17DC" w14:textId="77777777" w:rsidR="004F3905" w:rsidRPr="00E17B20" w:rsidRDefault="004F3905" w:rsidP="00376CCD">
            <w:pPr>
              <w:jc w:val="center"/>
              <w:rPr>
                <w:rFonts w:ascii="Arial" w:eastAsia="Calibri" w:hAnsi="Arial" w:cs="Arial"/>
                <w:b/>
                <w:bCs/>
                <w:sz w:val="20"/>
                <w:szCs w:val="20"/>
              </w:rPr>
            </w:pPr>
            <w:r w:rsidRPr="00E17B20">
              <w:rPr>
                <w:rFonts w:ascii="Arial" w:eastAsia="Calibri" w:hAnsi="Arial" w:cs="Arial"/>
                <w:b/>
                <w:bCs/>
                <w:sz w:val="20"/>
                <w:szCs w:val="20"/>
              </w:rPr>
              <w:t>Fund Category</w:t>
            </w:r>
          </w:p>
        </w:tc>
        <w:tc>
          <w:tcPr>
            <w:tcW w:w="126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A5F56DF" w14:textId="0FF9745F" w:rsidR="004F3905" w:rsidRPr="00E17B20" w:rsidRDefault="00745CC2" w:rsidP="00376CCD">
            <w:pPr>
              <w:jc w:val="center"/>
              <w:rPr>
                <w:rFonts w:ascii="Arial" w:eastAsia="Calibri" w:hAnsi="Arial" w:cs="Arial"/>
                <w:b/>
                <w:bCs/>
                <w:sz w:val="20"/>
                <w:szCs w:val="20"/>
              </w:rPr>
            </w:pPr>
            <w:r>
              <w:rPr>
                <w:rFonts w:ascii="Arial" w:eastAsia="Calibri" w:hAnsi="Arial" w:cs="Arial"/>
                <w:b/>
                <w:bCs/>
                <w:sz w:val="20"/>
                <w:szCs w:val="20"/>
              </w:rPr>
              <w:t>Original Agreement</w:t>
            </w:r>
            <w:r w:rsidRPr="00E17B20">
              <w:rPr>
                <w:rFonts w:ascii="Arial" w:eastAsia="Calibri" w:hAnsi="Arial" w:cs="Arial"/>
                <w:b/>
                <w:bCs/>
                <w:sz w:val="20"/>
                <w:szCs w:val="20"/>
              </w:rPr>
              <w:t xml:space="preserve"> </w:t>
            </w:r>
            <w:r w:rsidR="004F3905" w:rsidRPr="00E17B20">
              <w:rPr>
                <w:rFonts w:ascii="Arial" w:eastAsia="Calibri" w:hAnsi="Arial" w:cs="Arial"/>
                <w:b/>
                <w:bCs/>
                <w:sz w:val="20"/>
                <w:szCs w:val="20"/>
              </w:rPr>
              <w:t>Period</w:t>
            </w:r>
          </w:p>
        </w:tc>
        <w:tc>
          <w:tcPr>
            <w:tcW w:w="251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6947DE7" w14:textId="6FF227EA" w:rsidR="004F3905" w:rsidRPr="00E17B20" w:rsidRDefault="00690BF6" w:rsidP="00376CCD">
            <w:pPr>
              <w:ind w:right="-108" w:hanging="46"/>
              <w:jc w:val="center"/>
              <w:rPr>
                <w:rFonts w:ascii="Arial" w:eastAsia="Calibri" w:hAnsi="Arial" w:cs="Arial"/>
                <w:b/>
                <w:bCs/>
                <w:sz w:val="20"/>
                <w:szCs w:val="20"/>
              </w:rPr>
            </w:pPr>
            <w:r>
              <w:rPr>
                <w:rFonts w:ascii="Arial" w:eastAsia="Calibri" w:hAnsi="Arial" w:cs="Arial"/>
                <w:b/>
                <w:bCs/>
                <w:sz w:val="20"/>
                <w:szCs w:val="20"/>
              </w:rPr>
              <w:t xml:space="preserve">Mid-Point </w:t>
            </w:r>
            <w:r w:rsidR="004F3905" w:rsidRPr="00E17B20">
              <w:rPr>
                <w:rFonts w:ascii="Arial" w:eastAsia="Calibri" w:hAnsi="Arial" w:cs="Arial"/>
                <w:b/>
                <w:bCs/>
                <w:sz w:val="20"/>
                <w:szCs w:val="20"/>
              </w:rPr>
              <w:t xml:space="preserve">Progress </w:t>
            </w:r>
            <w:r w:rsidR="00EF1BA8">
              <w:rPr>
                <w:rFonts w:ascii="Arial" w:eastAsia="Calibri" w:hAnsi="Arial" w:cs="Arial"/>
                <w:b/>
                <w:bCs/>
                <w:sz w:val="20"/>
                <w:szCs w:val="20"/>
              </w:rPr>
              <w:t xml:space="preserve">      </w:t>
            </w:r>
            <w:r w:rsidR="004F3905" w:rsidRPr="00E17B20">
              <w:rPr>
                <w:rFonts w:ascii="Arial" w:eastAsia="Calibri" w:hAnsi="Arial" w:cs="Arial"/>
                <w:b/>
                <w:bCs/>
                <w:sz w:val="20"/>
                <w:szCs w:val="20"/>
              </w:rPr>
              <w:t>Threshold</w:t>
            </w:r>
          </w:p>
        </w:tc>
        <w:tc>
          <w:tcPr>
            <w:tcW w:w="25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9AEFF67" w14:textId="644E8CBF" w:rsidR="004F3905" w:rsidRPr="00E17B20" w:rsidRDefault="00690BF6" w:rsidP="00376CCD">
            <w:pPr>
              <w:jc w:val="center"/>
              <w:rPr>
                <w:rFonts w:ascii="Arial" w:eastAsia="Calibri" w:hAnsi="Arial" w:cs="Arial"/>
                <w:b/>
                <w:bCs/>
                <w:sz w:val="20"/>
                <w:szCs w:val="20"/>
              </w:rPr>
            </w:pPr>
            <w:r>
              <w:rPr>
                <w:rFonts w:ascii="Arial" w:eastAsia="Calibri" w:hAnsi="Arial" w:cs="Arial"/>
                <w:b/>
                <w:bCs/>
                <w:sz w:val="20"/>
                <w:szCs w:val="20"/>
              </w:rPr>
              <w:t xml:space="preserve">Final </w:t>
            </w:r>
            <w:r w:rsidR="004F3905" w:rsidRPr="00E17B20">
              <w:rPr>
                <w:rFonts w:ascii="Arial" w:eastAsia="Calibri" w:hAnsi="Arial" w:cs="Arial"/>
                <w:b/>
                <w:bCs/>
                <w:sz w:val="20"/>
                <w:szCs w:val="20"/>
              </w:rPr>
              <w:t>Progress Threshold</w:t>
            </w:r>
          </w:p>
        </w:tc>
      </w:tr>
      <w:tr w:rsidR="00357E4B" w:rsidRPr="00E17B20" w14:paraId="29182E9A" w14:textId="77777777" w:rsidTr="003E72B7">
        <w:tc>
          <w:tcPr>
            <w:tcW w:w="26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C1920A8" w14:textId="3A94DBFF" w:rsidR="00357E4B" w:rsidRPr="00235002" w:rsidRDefault="00357E4B" w:rsidP="00376CCD">
            <w:pPr>
              <w:rPr>
                <w:rFonts w:ascii="Arial" w:eastAsia="Calibri" w:hAnsi="Arial" w:cs="Arial"/>
                <w:color w:val="000000" w:themeColor="text1"/>
                <w:sz w:val="20"/>
                <w:szCs w:val="20"/>
              </w:rPr>
            </w:pPr>
            <w:r w:rsidRPr="00235002">
              <w:rPr>
                <w:rFonts w:ascii="Arial" w:eastAsia="Calibri" w:hAnsi="Arial" w:cs="Arial"/>
                <w:color w:val="000000" w:themeColor="text1"/>
                <w:sz w:val="20"/>
                <w:szCs w:val="20"/>
              </w:rPr>
              <w:t>State Urgent Need Fund</w:t>
            </w:r>
          </w:p>
        </w:tc>
        <w:tc>
          <w:tcPr>
            <w:tcW w:w="1261" w:type="dxa"/>
            <w:tcBorders>
              <w:top w:val="nil"/>
              <w:left w:val="nil"/>
              <w:bottom w:val="single" w:sz="8" w:space="0" w:color="auto"/>
              <w:right w:val="single" w:sz="8" w:space="0" w:color="auto"/>
            </w:tcBorders>
            <w:tcMar>
              <w:top w:w="0" w:type="dxa"/>
              <w:left w:w="108" w:type="dxa"/>
              <w:bottom w:w="0" w:type="dxa"/>
              <w:right w:w="108" w:type="dxa"/>
            </w:tcMar>
            <w:vAlign w:val="center"/>
          </w:tcPr>
          <w:p w14:paraId="3B06926A" w14:textId="3AF75E7E" w:rsidR="00357E4B" w:rsidRPr="00235002" w:rsidDel="00763B0D" w:rsidRDefault="00357E4B" w:rsidP="00376CCD">
            <w:pPr>
              <w:jc w:val="center"/>
              <w:rPr>
                <w:rFonts w:ascii="Arial" w:eastAsia="Calibri" w:hAnsi="Arial" w:cs="Arial"/>
                <w:color w:val="000000" w:themeColor="text1"/>
                <w:sz w:val="20"/>
                <w:szCs w:val="20"/>
              </w:rPr>
            </w:pPr>
            <w:r w:rsidRPr="00235002">
              <w:rPr>
                <w:rFonts w:ascii="Arial" w:eastAsia="Calibri" w:hAnsi="Arial" w:cs="Arial"/>
                <w:color w:val="000000" w:themeColor="text1"/>
                <w:sz w:val="20"/>
                <w:szCs w:val="20"/>
              </w:rPr>
              <w:t>18 months</w:t>
            </w:r>
          </w:p>
        </w:tc>
        <w:tc>
          <w:tcPr>
            <w:tcW w:w="2513" w:type="dxa"/>
            <w:tcBorders>
              <w:top w:val="nil"/>
              <w:left w:val="nil"/>
              <w:bottom w:val="single" w:sz="8" w:space="0" w:color="auto"/>
              <w:right w:val="single" w:sz="8" w:space="0" w:color="auto"/>
            </w:tcBorders>
            <w:tcMar>
              <w:top w:w="0" w:type="dxa"/>
              <w:left w:w="108" w:type="dxa"/>
              <w:bottom w:w="0" w:type="dxa"/>
              <w:right w:w="108" w:type="dxa"/>
            </w:tcMar>
          </w:tcPr>
          <w:p w14:paraId="4C77C639" w14:textId="77777777" w:rsidR="003E72B7" w:rsidRDefault="00357E4B" w:rsidP="00D562A2">
            <w:pPr>
              <w:rPr>
                <w:rFonts w:ascii="Arial" w:eastAsia="Calibri" w:hAnsi="Arial" w:cs="Arial"/>
                <w:color w:val="000000" w:themeColor="text1"/>
                <w:sz w:val="20"/>
                <w:szCs w:val="20"/>
              </w:rPr>
            </w:pPr>
            <w:r w:rsidRPr="00235002">
              <w:rPr>
                <w:rFonts w:ascii="Arial" w:eastAsia="Calibri" w:hAnsi="Arial" w:cs="Arial"/>
                <w:color w:val="000000" w:themeColor="text1"/>
                <w:sz w:val="20"/>
                <w:szCs w:val="20"/>
              </w:rPr>
              <w:t>12 months</w:t>
            </w:r>
            <w:r w:rsidR="00745CC2">
              <w:rPr>
                <w:rFonts w:ascii="Arial" w:eastAsia="Calibri" w:hAnsi="Arial" w:cs="Arial"/>
                <w:color w:val="000000" w:themeColor="text1"/>
                <w:sz w:val="20"/>
                <w:szCs w:val="20"/>
              </w:rPr>
              <w:t xml:space="preserve"> after </w:t>
            </w:r>
            <w:bookmarkStart w:id="16" w:name="_Hlk88003475"/>
          </w:p>
          <w:p w14:paraId="062BCDFE" w14:textId="586597A7" w:rsidR="00357E4B" w:rsidRPr="00235002" w:rsidRDefault="00745CC2" w:rsidP="00D562A2">
            <w:pPr>
              <w:rPr>
                <w:rFonts w:ascii="Arial" w:eastAsia="Calibri" w:hAnsi="Arial" w:cs="Arial"/>
                <w:color w:val="000000" w:themeColor="text1"/>
                <w:sz w:val="20"/>
                <w:szCs w:val="20"/>
              </w:rPr>
            </w:pPr>
            <w:r>
              <w:rPr>
                <w:rFonts w:ascii="Arial" w:eastAsia="Calibri" w:hAnsi="Arial" w:cs="Arial"/>
                <w:color w:val="000000" w:themeColor="text1"/>
                <w:sz w:val="20"/>
                <w:szCs w:val="20"/>
              </w:rPr>
              <w:t xml:space="preserve">agreement </w:t>
            </w:r>
            <w:bookmarkEnd w:id="16"/>
            <w:r>
              <w:rPr>
                <w:rFonts w:ascii="Arial" w:eastAsia="Calibri" w:hAnsi="Arial" w:cs="Arial"/>
                <w:color w:val="000000" w:themeColor="text1"/>
                <w:sz w:val="20"/>
                <w:szCs w:val="20"/>
              </w:rPr>
              <w:t>start date</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14:paraId="5A11FD14" w14:textId="77777777" w:rsidR="003E72B7" w:rsidRDefault="00357E4B" w:rsidP="004F3905">
            <w:pPr>
              <w:jc w:val="both"/>
              <w:rPr>
                <w:rFonts w:ascii="Arial" w:eastAsia="Calibri" w:hAnsi="Arial" w:cs="Arial"/>
                <w:color w:val="000000" w:themeColor="text1"/>
                <w:sz w:val="20"/>
                <w:szCs w:val="20"/>
              </w:rPr>
            </w:pPr>
            <w:r w:rsidRPr="00235002">
              <w:rPr>
                <w:rFonts w:ascii="Arial" w:eastAsia="Calibri" w:hAnsi="Arial" w:cs="Arial"/>
                <w:color w:val="000000" w:themeColor="text1"/>
                <w:sz w:val="20"/>
                <w:szCs w:val="20"/>
              </w:rPr>
              <w:t>18 months</w:t>
            </w:r>
            <w:r w:rsidR="00745CC2">
              <w:rPr>
                <w:rFonts w:ascii="Arial" w:eastAsia="Calibri" w:hAnsi="Arial" w:cs="Arial"/>
                <w:color w:val="000000" w:themeColor="text1"/>
                <w:sz w:val="20"/>
                <w:szCs w:val="20"/>
              </w:rPr>
              <w:t xml:space="preserve"> after </w:t>
            </w:r>
          </w:p>
          <w:p w14:paraId="598A48D0" w14:textId="36CFB9A7" w:rsidR="00357E4B" w:rsidRPr="00235002" w:rsidRDefault="00745CC2" w:rsidP="004F3905">
            <w:pPr>
              <w:jc w:val="both"/>
              <w:rPr>
                <w:rFonts w:ascii="Arial" w:eastAsia="Calibri" w:hAnsi="Arial" w:cs="Arial"/>
                <w:color w:val="000000" w:themeColor="text1"/>
                <w:sz w:val="20"/>
                <w:szCs w:val="20"/>
              </w:rPr>
            </w:pPr>
            <w:r>
              <w:rPr>
                <w:rFonts w:ascii="Arial" w:eastAsia="Calibri" w:hAnsi="Arial" w:cs="Arial"/>
                <w:color w:val="000000" w:themeColor="text1"/>
                <w:sz w:val="20"/>
                <w:szCs w:val="20"/>
              </w:rPr>
              <w:t>agreement start date</w:t>
            </w:r>
          </w:p>
        </w:tc>
      </w:tr>
      <w:tr w:rsidR="003E72B7" w:rsidRPr="00E17B20" w14:paraId="65759A5D" w14:textId="77777777" w:rsidTr="003E72B7">
        <w:tc>
          <w:tcPr>
            <w:tcW w:w="26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54F6C79" w14:textId="7F0ABCFE" w:rsidR="003E72B7" w:rsidRPr="00235002" w:rsidRDefault="003E72B7" w:rsidP="00376CCD">
            <w:pPr>
              <w:rPr>
                <w:rFonts w:ascii="Arial" w:eastAsia="Calibri" w:hAnsi="Arial" w:cs="Arial"/>
                <w:color w:val="000000" w:themeColor="text1"/>
                <w:sz w:val="20"/>
                <w:szCs w:val="20"/>
              </w:rPr>
            </w:pPr>
            <w:r w:rsidRPr="00235002">
              <w:rPr>
                <w:rFonts w:ascii="Arial" w:eastAsia="Calibri" w:hAnsi="Arial" w:cs="Arial"/>
                <w:color w:val="000000" w:themeColor="text1"/>
                <w:sz w:val="20"/>
                <w:szCs w:val="20"/>
              </w:rPr>
              <w:t>Disaster Relief Fund</w:t>
            </w:r>
          </w:p>
        </w:tc>
        <w:tc>
          <w:tcPr>
            <w:tcW w:w="12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015252" w14:textId="38150C57" w:rsidR="003E72B7" w:rsidRPr="00235002" w:rsidRDefault="003E72B7" w:rsidP="00376CCD">
            <w:pPr>
              <w:jc w:val="center"/>
              <w:rPr>
                <w:rFonts w:ascii="Arial" w:eastAsia="Calibri" w:hAnsi="Arial" w:cs="Arial"/>
                <w:color w:val="000000" w:themeColor="text1"/>
                <w:sz w:val="20"/>
                <w:szCs w:val="20"/>
              </w:rPr>
            </w:pPr>
            <w:r w:rsidRPr="00235002">
              <w:rPr>
                <w:rFonts w:ascii="Arial" w:eastAsia="Calibri" w:hAnsi="Arial" w:cs="Arial"/>
                <w:color w:val="000000" w:themeColor="text1"/>
                <w:sz w:val="20"/>
                <w:szCs w:val="20"/>
              </w:rPr>
              <w:t>12 months</w:t>
            </w:r>
          </w:p>
        </w:tc>
        <w:tc>
          <w:tcPr>
            <w:tcW w:w="2513" w:type="dxa"/>
            <w:vMerge w:val="restart"/>
            <w:tcBorders>
              <w:top w:val="nil"/>
              <w:left w:val="nil"/>
              <w:right w:val="single" w:sz="8" w:space="0" w:color="auto"/>
            </w:tcBorders>
            <w:tcMar>
              <w:top w:w="0" w:type="dxa"/>
              <w:left w:w="108" w:type="dxa"/>
              <w:bottom w:w="0" w:type="dxa"/>
              <w:right w:w="108" w:type="dxa"/>
            </w:tcMar>
            <w:vAlign w:val="center"/>
            <w:hideMark/>
          </w:tcPr>
          <w:p w14:paraId="32E3634F" w14:textId="77777777" w:rsidR="003E72B7" w:rsidRDefault="003E72B7" w:rsidP="003E72B7">
            <w:pPr>
              <w:rPr>
                <w:rFonts w:ascii="Arial" w:eastAsia="Calibri" w:hAnsi="Arial" w:cs="Arial"/>
                <w:color w:val="000000" w:themeColor="text1"/>
                <w:sz w:val="20"/>
                <w:szCs w:val="20"/>
              </w:rPr>
            </w:pPr>
            <w:r w:rsidRPr="00235002">
              <w:rPr>
                <w:rFonts w:ascii="Arial" w:eastAsia="Calibri" w:hAnsi="Arial" w:cs="Arial"/>
                <w:color w:val="000000" w:themeColor="text1"/>
                <w:sz w:val="20"/>
                <w:szCs w:val="20"/>
              </w:rPr>
              <w:t>9 months</w:t>
            </w:r>
            <w:r>
              <w:rPr>
                <w:rFonts w:ascii="Arial" w:eastAsia="Calibri" w:hAnsi="Arial" w:cs="Arial"/>
                <w:color w:val="000000" w:themeColor="text1"/>
                <w:sz w:val="20"/>
                <w:szCs w:val="20"/>
              </w:rPr>
              <w:t xml:space="preserve"> after </w:t>
            </w:r>
          </w:p>
          <w:p w14:paraId="3BDF0E7E" w14:textId="77777777" w:rsidR="003E72B7" w:rsidRPr="00235002" w:rsidRDefault="003E72B7" w:rsidP="003E72B7">
            <w:pPr>
              <w:rPr>
                <w:rFonts w:ascii="Arial" w:eastAsia="Calibri" w:hAnsi="Arial" w:cs="Arial"/>
                <w:color w:val="000000" w:themeColor="text1"/>
                <w:sz w:val="20"/>
                <w:szCs w:val="20"/>
              </w:rPr>
            </w:pPr>
            <w:r>
              <w:rPr>
                <w:rFonts w:ascii="Arial" w:eastAsia="Calibri" w:hAnsi="Arial" w:cs="Arial"/>
                <w:color w:val="000000" w:themeColor="text1"/>
                <w:sz w:val="20"/>
                <w:szCs w:val="20"/>
              </w:rPr>
              <w:t>agreement start date</w:t>
            </w:r>
          </w:p>
          <w:p w14:paraId="54BFF100" w14:textId="5E7C19DC" w:rsidR="003E72B7" w:rsidRPr="00235002" w:rsidRDefault="003E72B7" w:rsidP="003E72B7">
            <w:pPr>
              <w:rPr>
                <w:rFonts w:ascii="Arial" w:eastAsia="Calibri" w:hAnsi="Arial" w:cs="Arial"/>
                <w:color w:val="000000" w:themeColor="text1"/>
                <w:sz w:val="20"/>
                <w:szCs w:val="20"/>
              </w:rPr>
            </w:pP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14:paraId="23F9877E" w14:textId="77777777" w:rsidR="003E72B7" w:rsidRDefault="003E72B7" w:rsidP="004F3905">
            <w:pPr>
              <w:jc w:val="both"/>
              <w:rPr>
                <w:rFonts w:ascii="Arial" w:eastAsia="Calibri" w:hAnsi="Arial" w:cs="Arial"/>
                <w:color w:val="000000" w:themeColor="text1"/>
                <w:sz w:val="20"/>
                <w:szCs w:val="20"/>
              </w:rPr>
            </w:pPr>
            <w:r w:rsidRPr="00235002">
              <w:rPr>
                <w:rFonts w:ascii="Arial" w:eastAsia="Calibri" w:hAnsi="Arial" w:cs="Arial"/>
                <w:color w:val="000000" w:themeColor="text1"/>
                <w:sz w:val="20"/>
                <w:szCs w:val="20"/>
              </w:rPr>
              <w:t>12 months</w:t>
            </w:r>
            <w:r>
              <w:rPr>
                <w:rFonts w:ascii="Arial" w:eastAsia="Calibri" w:hAnsi="Arial" w:cs="Arial"/>
                <w:color w:val="000000" w:themeColor="text1"/>
                <w:sz w:val="20"/>
                <w:szCs w:val="20"/>
              </w:rPr>
              <w:t xml:space="preserve"> after </w:t>
            </w:r>
          </w:p>
          <w:p w14:paraId="628D6557" w14:textId="56B62014" w:rsidR="003E72B7" w:rsidRPr="00235002" w:rsidRDefault="003E72B7" w:rsidP="004F3905">
            <w:pPr>
              <w:jc w:val="both"/>
              <w:rPr>
                <w:rFonts w:ascii="Arial" w:eastAsia="Calibri" w:hAnsi="Arial" w:cs="Arial"/>
                <w:color w:val="000000" w:themeColor="text1"/>
                <w:sz w:val="20"/>
                <w:szCs w:val="20"/>
              </w:rPr>
            </w:pPr>
            <w:r>
              <w:rPr>
                <w:rFonts w:ascii="Arial" w:eastAsia="Calibri" w:hAnsi="Arial" w:cs="Arial"/>
                <w:color w:val="000000" w:themeColor="text1"/>
                <w:sz w:val="20"/>
                <w:szCs w:val="20"/>
              </w:rPr>
              <w:t>agreement start date</w:t>
            </w:r>
          </w:p>
        </w:tc>
      </w:tr>
      <w:tr w:rsidR="003E72B7" w:rsidRPr="00E17B20" w14:paraId="5344C027" w14:textId="77777777" w:rsidTr="003E72B7">
        <w:trPr>
          <w:trHeight w:val="520"/>
        </w:trPr>
        <w:tc>
          <w:tcPr>
            <w:tcW w:w="26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BAFC0DE" w14:textId="77777777" w:rsidR="003E72B7" w:rsidRPr="00235002" w:rsidRDefault="003E72B7" w:rsidP="00376CCD">
            <w:pPr>
              <w:rPr>
                <w:rFonts w:ascii="Arial" w:eastAsia="Calibri" w:hAnsi="Arial" w:cs="Arial"/>
                <w:color w:val="000000" w:themeColor="text1"/>
                <w:sz w:val="20"/>
                <w:szCs w:val="20"/>
              </w:rPr>
            </w:pPr>
            <w:r w:rsidRPr="00235002">
              <w:rPr>
                <w:rFonts w:ascii="Arial" w:eastAsia="Calibri" w:hAnsi="Arial" w:cs="Arial"/>
                <w:color w:val="000000" w:themeColor="text1"/>
                <w:sz w:val="20"/>
                <w:szCs w:val="20"/>
              </w:rPr>
              <w:t>FAST Fund</w:t>
            </w:r>
          </w:p>
        </w:tc>
        <w:tc>
          <w:tcPr>
            <w:tcW w:w="12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86F1BE" w14:textId="3440904A" w:rsidR="003E72B7" w:rsidRPr="00235002" w:rsidRDefault="003E72B7" w:rsidP="00376CCD">
            <w:pPr>
              <w:jc w:val="center"/>
              <w:rPr>
                <w:rFonts w:ascii="Arial" w:eastAsia="Calibri" w:hAnsi="Arial" w:cs="Arial"/>
                <w:color w:val="000000" w:themeColor="text1"/>
                <w:sz w:val="20"/>
                <w:szCs w:val="20"/>
              </w:rPr>
            </w:pPr>
            <w:r w:rsidRPr="00235002">
              <w:rPr>
                <w:rFonts w:ascii="Arial" w:eastAsia="Calibri" w:hAnsi="Arial" w:cs="Arial"/>
                <w:color w:val="000000" w:themeColor="text1"/>
                <w:sz w:val="20"/>
                <w:szCs w:val="20"/>
              </w:rPr>
              <w:t>18 months</w:t>
            </w:r>
          </w:p>
        </w:tc>
        <w:tc>
          <w:tcPr>
            <w:tcW w:w="2513" w:type="dxa"/>
            <w:vMerge/>
            <w:tcBorders>
              <w:left w:val="nil"/>
              <w:bottom w:val="single" w:sz="8" w:space="0" w:color="auto"/>
              <w:right w:val="single" w:sz="8" w:space="0" w:color="auto"/>
            </w:tcBorders>
            <w:tcMar>
              <w:top w:w="0" w:type="dxa"/>
              <w:left w:w="108" w:type="dxa"/>
              <w:bottom w:w="0" w:type="dxa"/>
              <w:right w:w="108" w:type="dxa"/>
            </w:tcMar>
            <w:hideMark/>
          </w:tcPr>
          <w:p w14:paraId="63F4F1D8" w14:textId="1E1F8FDF" w:rsidR="003E72B7" w:rsidRPr="00235002" w:rsidRDefault="003E72B7" w:rsidP="00D562A2">
            <w:pPr>
              <w:rPr>
                <w:rFonts w:ascii="Arial" w:eastAsia="Calibri" w:hAnsi="Arial" w:cs="Arial"/>
                <w:color w:val="000000" w:themeColor="text1"/>
                <w:sz w:val="20"/>
                <w:szCs w:val="20"/>
              </w:rPr>
            </w:pP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14:paraId="7266396E" w14:textId="77777777" w:rsidR="003E72B7" w:rsidRDefault="003E72B7" w:rsidP="004F3905">
            <w:pPr>
              <w:jc w:val="both"/>
              <w:rPr>
                <w:rFonts w:ascii="Arial" w:eastAsia="Calibri" w:hAnsi="Arial" w:cs="Arial"/>
                <w:color w:val="000000" w:themeColor="text1"/>
                <w:sz w:val="20"/>
                <w:szCs w:val="20"/>
              </w:rPr>
            </w:pPr>
            <w:r w:rsidRPr="00235002">
              <w:rPr>
                <w:rFonts w:ascii="Arial" w:eastAsia="Calibri" w:hAnsi="Arial" w:cs="Arial"/>
                <w:color w:val="000000" w:themeColor="text1"/>
                <w:sz w:val="20"/>
                <w:szCs w:val="20"/>
              </w:rPr>
              <w:t>18 months</w:t>
            </w:r>
            <w:r>
              <w:rPr>
                <w:rFonts w:ascii="Arial" w:eastAsia="Calibri" w:hAnsi="Arial" w:cs="Arial"/>
                <w:color w:val="000000" w:themeColor="text1"/>
                <w:sz w:val="20"/>
                <w:szCs w:val="20"/>
              </w:rPr>
              <w:t xml:space="preserve"> after </w:t>
            </w:r>
          </w:p>
          <w:p w14:paraId="46EED3EB" w14:textId="6DD3D383" w:rsidR="003E72B7" w:rsidRPr="00235002" w:rsidRDefault="003E72B7" w:rsidP="004F3905">
            <w:pPr>
              <w:jc w:val="both"/>
              <w:rPr>
                <w:rFonts w:ascii="Arial" w:eastAsia="Calibri" w:hAnsi="Arial" w:cs="Arial"/>
                <w:color w:val="000000" w:themeColor="text1"/>
                <w:sz w:val="20"/>
                <w:szCs w:val="20"/>
              </w:rPr>
            </w:pPr>
            <w:r>
              <w:rPr>
                <w:rFonts w:ascii="Arial" w:eastAsia="Calibri" w:hAnsi="Arial" w:cs="Arial"/>
                <w:color w:val="000000" w:themeColor="text1"/>
                <w:sz w:val="20"/>
                <w:szCs w:val="20"/>
              </w:rPr>
              <w:t>agreement start date</w:t>
            </w:r>
          </w:p>
        </w:tc>
      </w:tr>
      <w:tr w:rsidR="003E72B7" w:rsidRPr="00E17B20" w14:paraId="504DDB14" w14:textId="77777777" w:rsidTr="003E72B7">
        <w:tc>
          <w:tcPr>
            <w:tcW w:w="26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CCC26A7" w14:textId="77777777" w:rsidR="003E72B7" w:rsidRDefault="003E72B7" w:rsidP="00376CCD">
            <w:pPr>
              <w:rPr>
                <w:rFonts w:ascii="Arial" w:eastAsia="Calibri" w:hAnsi="Arial" w:cs="Arial"/>
                <w:color w:val="000000" w:themeColor="text1"/>
                <w:sz w:val="20"/>
                <w:szCs w:val="20"/>
              </w:rPr>
            </w:pPr>
            <w:r w:rsidRPr="00235002">
              <w:rPr>
                <w:rFonts w:ascii="Arial" w:eastAsia="Calibri" w:hAnsi="Arial" w:cs="Arial"/>
                <w:color w:val="000000" w:themeColor="text1"/>
                <w:sz w:val="20"/>
                <w:szCs w:val="20"/>
              </w:rPr>
              <w:t xml:space="preserve">Community </w:t>
            </w:r>
          </w:p>
          <w:p w14:paraId="0F8C7395" w14:textId="1C567B7D" w:rsidR="003E72B7" w:rsidRPr="00235002" w:rsidRDefault="003E72B7" w:rsidP="00376CCD">
            <w:pPr>
              <w:rPr>
                <w:rFonts w:ascii="Arial" w:eastAsia="Calibri" w:hAnsi="Arial" w:cs="Arial"/>
                <w:color w:val="000000" w:themeColor="text1"/>
                <w:sz w:val="20"/>
                <w:szCs w:val="20"/>
              </w:rPr>
            </w:pPr>
            <w:r w:rsidRPr="00235002">
              <w:rPr>
                <w:rFonts w:ascii="Arial" w:eastAsia="Calibri" w:hAnsi="Arial" w:cs="Arial"/>
                <w:color w:val="000000" w:themeColor="text1"/>
                <w:sz w:val="20"/>
                <w:szCs w:val="20"/>
              </w:rPr>
              <w:t>Development Fund</w:t>
            </w:r>
          </w:p>
        </w:tc>
        <w:tc>
          <w:tcPr>
            <w:tcW w:w="12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3AE5AF" w14:textId="77777777" w:rsidR="003E72B7" w:rsidRPr="00235002" w:rsidRDefault="003E72B7" w:rsidP="00376CCD">
            <w:pPr>
              <w:jc w:val="center"/>
              <w:rPr>
                <w:rFonts w:ascii="Arial" w:eastAsia="Calibri" w:hAnsi="Arial" w:cs="Arial"/>
                <w:color w:val="000000" w:themeColor="text1"/>
                <w:sz w:val="20"/>
                <w:szCs w:val="20"/>
              </w:rPr>
            </w:pPr>
            <w:r w:rsidRPr="00235002">
              <w:rPr>
                <w:rFonts w:ascii="Arial" w:eastAsia="Calibri" w:hAnsi="Arial" w:cs="Arial"/>
                <w:color w:val="000000" w:themeColor="text1"/>
                <w:sz w:val="20"/>
                <w:szCs w:val="20"/>
              </w:rPr>
              <w:t>24 months</w:t>
            </w:r>
          </w:p>
        </w:tc>
        <w:tc>
          <w:tcPr>
            <w:tcW w:w="2513" w:type="dxa"/>
            <w:vMerge w:val="restart"/>
            <w:tcBorders>
              <w:top w:val="nil"/>
              <w:left w:val="nil"/>
              <w:right w:val="single" w:sz="8" w:space="0" w:color="auto"/>
            </w:tcBorders>
            <w:tcMar>
              <w:top w:w="0" w:type="dxa"/>
              <w:left w:w="108" w:type="dxa"/>
              <w:bottom w:w="0" w:type="dxa"/>
              <w:right w:w="108" w:type="dxa"/>
            </w:tcMar>
            <w:vAlign w:val="center"/>
            <w:hideMark/>
          </w:tcPr>
          <w:p w14:paraId="4EAE1F6B" w14:textId="77777777" w:rsidR="003E72B7" w:rsidRDefault="003E72B7" w:rsidP="003E72B7">
            <w:pPr>
              <w:rPr>
                <w:rFonts w:ascii="Arial" w:eastAsia="Calibri" w:hAnsi="Arial" w:cs="Arial"/>
                <w:color w:val="000000" w:themeColor="text1"/>
                <w:sz w:val="20"/>
                <w:szCs w:val="20"/>
              </w:rPr>
            </w:pPr>
            <w:r w:rsidRPr="00235002">
              <w:rPr>
                <w:rFonts w:ascii="Arial" w:eastAsia="Calibri" w:hAnsi="Arial" w:cs="Arial"/>
                <w:color w:val="000000" w:themeColor="text1"/>
                <w:sz w:val="20"/>
                <w:szCs w:val="20"/>
              </w:rPr>
              <w:t>12 months</w:t>
            </w:r>
            <w:r>
              <w:rPr>
                <w:rFonts w:ascii="Arial" w:eastAsia="Calibri" w:hAnsi="Arial" w:cs="Arial"/>
                <w:color w:val="000000" w:themeColor="text1"/>
                <w:sz w:val="20"/>
                <w:szCs w:val="20"/>
              </w:rPr>
              <w:t xml:space="preserve"> after </w:t>
            </w:r>
          </w:p>
          <w:p w14:paraId="608A3A25" w14:textId="389F3A60" w:rsidR="003E72B7" w:rsidRPr="00235002" w:rsidRDefault="003E72B7" w:rsidP="003E72B7">
            <w:pPr>
              <w:rPr>
                <w:rFonts w:ascii="Arial" w:eastAsia="Calibri" w:hAnsi="Arial" w:cs="Arial"/>
                <w:color w:val="000000" w:themeColor="text1"/>
                <w:sz w:val="20"/>
                <w:szCs w:val="20"/>
              </w:rPr>
            </w:pPr>
            <w:r>
              <w:rPr>
                <w:rFonts w:ascii="Arial" w:eastAsia="Calibri" w:hAnsi="Arial" w:cs="Arial"/>
                <w:color w:val="000000" w:themeColor="text1"/>
                <w:sz w:val="20"/>
                <w:szCs w:val="20"/>
              </w:rPr>
              <w:t>agreement start date</w:t>
            </w:r>
          </w:p>
        </w:tc>
        <w:tc>
          <w:tcPr>
            <w:tcW w:w="2520" w:type="dxa"/>
            <w:vMerge w:val="restart"/>
            <w:tcBorders>
              <w:top w:val="nil"/>
              <w:left w:val="nil"/>
              <w:right w:val="single" w:sz="8" w:space="0" w:color="auto"/>
            </w:tcBorders>
            <w:tcMar>
              <w:top w:w="0" w:type="dxa"/>
              <w:left w:w="108" w:type="dxa"/>
              <w:bottom w:w="0" w:type="dxa"/>
              <w:right w:w="108" w:type="dxa"/>
            </w:tcMar>
            <w:vAlign w:val="center"/>
            <w:hideMark/>
          </w:tcPr>
          <w:p w14:paraId="5649F1F3" w14:textId="77777777" w:rsidR="003E72B7" w:rsidRDefault="003E72B7" w:rsidP="003E72B7">
            <w:pPr>
              <w:rPr>
                <w:rFonts w:ascii="Arial" w:eastAsia="Calibri" w:hAnsi="Arial" w:cs="Arial"/>
                <w:color w:val="000000" w:themeColor="text1"/>
                <w:sz w:val="20"/>
                <w:szCs w:val="20"/>
              </w:rPr>
            </w:pPr>
            <w:r w:rsidRPr="00235002">
              <w:rPr>
                <w:rFonts w:ascii="Arial" w:eastAsia="Calibri" w:hAnsi="Arial" w:cs="Arial"/>
                <w:color w:val="000000" w:themeColor="text1"/>
                <w:sz w:val="20"/>
                <w:szCs w:val="20"/>
              </w:rPr>
              <w:t>24 months</w:t>
            </w:r>
            <w:r>
              <w:rPr>
                <w:rFonts w:ascii="Arial" w:eastAsia="Calibri" w:hAnsi="Arial" w:cs="Arial"/>
                <w:color w:val="000000" w:themeColor="text1"/>
                <w:sz w:val="20"/>
                <w:szCs w:val="20"/>
              </w:rPr>
              <w:t xml:space="preserve"> after </w:t>
            </w:r>
          </w:p>
          <w:p w14:paraId="494CE8AD" w14:textId="6ED4017C" w:rsidR="003E72B7" w:rsidRPr="00235002" w:rsidRDefault="003E72B7" w:rsidP="003E72B7">
            <w:pPr>
              <w:rPr>
                <w:rFonts w:ascii="Arial" w:eastAsia="Calibri" w:hAnsi="Arial" w:cs="Arial"/>
                <w:color w:val="000000" w:themeColor="text1"/>
                <w:sz w:val="20"/>
                <w:szCs w:val="20"/>
              </w:rPr>
            </w:pPr>
            <w:r>
              <w:rPr>
                <w:rFonts w:ascii="Arial" w:eastAsia="Calibri" w:hAnsi="Arial" w:cs="Arial"/>
                <w:color w:val="000000" w:themeColor="text1"/>
                <w:sz w:val="20"/>
                <w:szCs w:val="20"/>
              </w:rPr>
              <w:t>agreement start date</w:t>
            </w:r>
          </w:p>
          <w:p w14:paraId="31E599E6" w14:textId="42D8E581" w:rsidR="003E72B7" w:rsidRPr="00235002" w:rsidRDefault="003E72B7" w:rsidP="003E72B7">
            <w:pPr>
              <w:rPr>
                <w:rFonts w:ascii="Arial" w:eastAsia="Calibri" w:hAnsi="Arial" w:cs="Arial"/>
                <w:color w:val="000000" w:themeColor="text1"/>
                <w:sz w:val="20"/>
                <w:szCs w:val="20"/>
              </w:rPr>
            </w:pPr>
          </w:p>
        </w:tc>
      </w:tr>
      <w:tr w:rsidR="003E72B7" w:rsidRPr="00E17B20" w14:paraId="63DC40C9" w14:textId="77777777" w:rsidTr="003E72B7">
        <w:tc>
          <w:tcPr>
            <w:tcW w:w="26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5DA75E4" w14:textId="77777777" w:rsidR="003E72B7" w:rsidRPr="00235002" w:rsidRDefault="003E72B7" w:rsidP="00376CCD">
            <w:pPr>
              <w:rPr>
                <w:rFonts w:ascii="Arial" w:eastAsia="Calibri" w:hAnsi="Arial" w:cs="Arial"/>
                <w:color w:val="000000" w:themeColor="text1"/>
                <w:sz w:val="20"/>
                <w:szCs w:val="20"/>
              </w:rPr>
            </w:pPr>
            <w:r w:rsidRPr="00235002">
              <w:rPr>
                <w:rFonts w:ascii="Arial" w:eastAsia="Calibri" w:hAnsi="Arial" w:cs="Arial"/>
                <w:color w:val="000000" w:themeColor="text1"/>
                <w:sz w:val="20"/>
                <w:szCs w:val="20"/>
              </w:rPr>
              <w:t>Downtown Revitalization/</w:t>
            </w:r>
          </w:p>
          <w:p w14:paraId="38E98DAF" w14:textId="4042CF64" w:rsidR="003E72B7" w:rsidRPr="00235002" w:rsidRDefault="003E72B7" w:rsidP="00376CCD">
            <w:pPr>
              <w:rPr>
                <w:rFonts w:ascii="Arial" w:eastAsia="Calibri" w:hAnsi="Arial" w:cs="Arial"/>
                <w:color w:val="000000" w:themeColor="text1"/>
                <w:sz w:val="20"/>
                <w:szCs w:val="20"/>
              </w:rPr>
            </w:pPr>
            <w:r w:rsidRPr="00235002">
              <w:rPr>
                <w:rFonts w:ascii="Arial" w:eastAsia="Calibri" w:hAnsi="Arial" w:cs="Arial"/>
                <w:color w:val="000000" w:themeColor="text1"/>
                <w:sz w:val="20"/>
                <w:szCs w:val="20"/>
              </w:rPr>
              <w:t>Main Street Fund</w:t>
            </w:r>
          </w:p>
        </w:tc>
        <w:tc>
          <w:tcPr>
            <w:tcW w:w="12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ED54F4" w14:textId="77777777" w:rsidR="003E72B7" w:rsidRPr="00235002" w:rsidRDefault="003E72B7" w:rsidP="00376CCD">
            <w:pPr>
              <w:jc w:val="center"/>
              <w:rPr>
                <w:rFonts w:ascii="Arial" w:eastAsia="Calibri" w:hAnsi="Arial" w:cs="Arial"/>
                <w:color w:val="000000" w:themeColor="text1"/>
                <w:sz w:val="20"/>
                <w:szCs w:val="20"/>
              </w:rPr>
            </w:pPr>
            <w:r w:rsidRPr="00235002">
              <w:rPr>
                <w:rFonts w:ascii="Arial" w:eastAsia="Calibri" w:hAnsi="Arial" w:cs="Arial"/>
                <w:color w:val="000000" w:themeColor="text1"/>
                <w:sz w:val="20"/>
                <w:szCs w:val="20"/>
              </w:rPr>
              <w:t>24 months</w:t>
            </w:r>
          </w:p>
        </w:tc>
        <w:tc>
          <w:tcPr>
            <w:tcW w:w="2513" w:type="dxa"/>
            <w:vMerge/>
            <w:tcBorders>
              <w:left w:val="nil"/>
              <w:right w:val="single" w:sz="8" w:space="0" w:color="auto"/>
            </w:tcBorders>
            <w:tcMar>
              <w:top w:w="0" w:type="dxa"/>
              <w:left w:w="108" w:type="dxa"/>
              <w:bottom w:w="0" w:type="dxa"/>
              <w:right w:w="108" w:type="dxa"/>
            </w:tcMar>
            <w:hideMark/>
          </w:tcPr>
          <w:p w14:paraId="15E10170" w14:textId="27BAC63A" w:rsidR="003E72B7" w:rsidRPr="00235002" w:rsidRDefault="003E72B7" w:rsidP="00D562A2">
            <w:pPr>
              <w:rPr>
                <w:rFonts w:ascii="Arial" w:eastAsia="Calibri" w:hAnsi="Arial" w:cs="Arial"/>
                <w:color w:val="000000" w:themeColor="text1"/>
                <w:sz w:val="20"/>
                <w:szCs w:val="20"/>
              </w:rPr>
            </w:pPr>
          </w:p>
        </w:tc>
        <w:tc>
          <w:tcPr>
            <w:tcW w:w="2520" w:type="dxa"/>
            <w:vMerge/>
            <w:tcBorders>
              <w:left w:val="nil"/>
              <w:right w:val="single" w:sz="8" w:space="0" w:color="auto"/>
            </w:tcBorders>
            <w:tcMar>
              <w:top w:w="0" w:type="dxa"/>
              <w:left w:w="108" w:type="dxa"/>
              <w:bottom w:w="0" w:type="dxa"/>
              <w:right w:w="108" w:type="dxa"/>
            </w:tcMar>
            <w:hideMark/>
          </w:tcPr>
          <w:p w14:paraId="7400F5A2" w14:textId="77F33BE0" w:rsidR="003E72B7" w:rsidRPr="00235002" w:rsidRDefault="003E72B7" w:rsidP="004F3905">
            <w:pPr>
              <w:jc w:val="both"/>
              <w:rPr>
                <w:rFonts w:ascii="Arial" w:eastAsia="Calibri" w:hAnsi="Arial" w:cs="Arial"/>
                <w:color w:val="000000" w:themeColor="text1"/>
                <w:sz w:val="20"/>
                <w:szCs w:val="20"/>
              </w:rPr>
            </w:pPr>
          </w:p>
        </w:tc>
      </w:tr>
      <w:tr w:rsidR="003E72B7" w:rsidRPr="00E17B20" w14:paraId="3B3B46C8" w14:textId="77777777" w:rsidTr="003E72B7">
        <w:tc>
          <w:tcPr>
            <w:tcW w:w="26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5B4004F" w14:textId="77777777" w:rsidR="003E72B7" w:rsidRDefault="003E72B7" w:rsidP="00376CCD">
            <w:pPr>
              <w:rPr>
                <w:rFonts w:ascii="Arial" w:eastAsia="Calibri" w:hAnsi="Arial" w:cs="Arial"/>
                <w:color w:val="000000" w:themeColor="text1"/>
                <w:sz w:val="20"/>
                <w:szCs w:val="20"/>
              </w:rPr>
            </w:pPr>
            <w:r w:rsidRPr="00235002">
              <w:rPr>
                <w:rFonts w:ascii="Arial" w:eastAsia="Calibri" w:hAnsi="Arial" w:cs="Arial"/>
                <w:color w:val="000000" w:themeColor="text1"/>
                <w:sz w:val="20"/>
                <w:szCs w:val="20"/>
              </w:rPr>
              <w:t xml:space="preserve">Colonia Fund </w:t>
            </w:r>
          </w:p>
          <w:p w14:paraId="13AE3F75" w14:textId="7EF3B001" w:rsidR="003E72B7" w:rsidRPr="00235002" w:rsidRDefault="003E72B7" w:rsidP="00376CCD">
            <w:pPr>
              <w:rPr>
                <w:rFonts w:ascii="Arial" w:eastAsia="Calibri" w:hAnsi="Arial" w:cs="Arial"/>
                <w:color w:val="000000" w:themeColor="text1"/>
                <w:sz w:val="20"/>
                <w:szCs w:val="20"/>
              </w:rPr>
            </w:pPr>
            <w:r w:rsidRPr="00235002">
              <w:rPr>
                <w:rFonts w:ascii="Arial" w:eastAsia="Calibri" w:hAnsi="Arial" w:cs="Arial"/>
                <w:color w:val="000000" w:themeColor="text1"/>
                <w:sz w:val="20"/>
                <w:szCs w:val="20"/>
              </w:rPr>
              <w:t>(Except Self-Help)</w:t>
            </w:r>
          </w:p>
        </w:tc>
        <w:tc>
          <w:tcPr>
            <w:tcW w:w="12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C51637" w14:textId="77777777" w:rsidR="003E72B7" w:rsidRPr="00235002" w:rsidRDefault="003E72B7" w:rsidP="00376CCD">
            <w:pPr>
              <w:jc w:val="center"/>
              <w:rPr>
                <w:rFonts w:ascii="Arial" w:eastAsia="Calibri" w:hAnsi="Arial" w:cs="Arial"/>
                <w:color w:val="000000" w:themeColor="text1"/>
                <w:sz w:val="20"/>
                <w:szCs w:val="20"/>
              </w:rPr>
            </w:pPr>
            <w:r w:rsidRPr="00235002">
              <w:rPr>
                <w:rFonts w:ascii="Arial" w:eastAsia="Calibri" w:hAnsi="Arial" w:cs="Arial"/>
                <w:color w:val="000000" w:themeColor="text1"/>
                <w:sz w:val="20"/>
                <w:szCs w:val="20"/>
              </w:rPr>
              <w:t>24 months</w:t>
            </w:r>
          </w:p>
        </w:tc>
        <w:tc>
          <w:tcPr>
            <w:tcW w:w="2513" w:type="dxa"/>
            <w:vMerge/>
            <w:tcBorders>
              <w:left w:val="nil"/>
              <w:right w:val="single" w:sz="8" w:space="0" w:color="auto"/>
            </w:tcBorders>
            <w:tcMar>
              <w:top w:w="0" w:type="dxa"/>
              <w:left w:w="108" w:type="dxa"/>
              <w:bottom w:w="0" w:type="dxa"/>
              <w:right w:w="108" w:type="dxa"/>
            </w:tcMar>
            <w:hideMark/>
          </w:tcPr>
          <w:p w14:paraId="09F203FD" w14:textId="51D5D9B1" w:rsidR="003E72B7" w:rsidRPr="00235002" w:rsidRDefault="003E72B7" w:rsidP="00D562A2">
            <w:pPr>
              <w:rPr>
                <w:rFonts w:ascii="Arial" w:eastAsia="Calibri" w:hAnsi="Arial" w:cs="Arial"/>
                <w:color w:val="000000" w:themeColor="text1"/>
                <w:sz w:val="20"/>
                <w:szCs w:val="20"/>
              </w:rPr>
            </w:pPr>
          </w:p>
        </w:tc>
        <w:tc>
          <w:tcPr>
            <w:tcW w:w="2520" w:type="dxa"/>
            <w:vMerge/>
            <w:tcBorders>
              <w:left w:val="nil"/>
              <w:right w:val="single" w:sz="8" w:space="0" w:color="auto"/>
            </w:tcBorders>
            <w:tcMar>
              <w:top w:w="0" w:type="dxa"/>
              <w:left w:w="108" w:type="dxa"/>
              <w:bottom w:w="0" w:type="dxa"/>
              <w:right w:w="108" w:type="dxa"/>
            </w:tcMar>
            <w:hideMark/>
          </w:tcPr>
          <w:p w14:paraId="248FC9BE" w14:textId="043C495C" w:rsidR="003E72B7" w:rsidRPr="00235002" w:rsidRDefault="003E72B7" w:rsidP="004F3905">
            <w:pPr>
              <w:jc w:val="both"/>
              <w:rPr>
                <w:rFonts w:ascii="Arial" w:eastAsia="Calibri" w:hAnsi="Arial" w:cs="Arial"/>
                <w:color w:val="000000" w:themeColor="text1"/>
                <w:sz w:val="20"/>
                <w:szCs w:val="20"/>
              </w:rPr>
            </w:pPr>
          </w:p>
        </w:tc>
      </w:tr>
      <w:tr w:rsidR="003E72B7" w:rsidRPr="00E17B20" w14:paraId="103B6BD4" w14:textId="77777777" w:rsidTr="003E72B7">
        <w:tc>
          <w:tcPr>
            <w:tcW w:w="26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06737EF" w14:textId="77777777" w:rsidR="003E72B7" w:rsidRDefault="003E72B7" w:rsidP="00376CCD">
            <w:pPr>
              <w:rPr>
                <w:rFonts w:ascii="Arial" w:eastAsia="Calibri" w:hAnsi="Arial" w:cs="Arial"/>
                <w:color w:val="000000" w:themeColor="text1"/>
                <w:sz w:val="20"/>
                <w:szCs w:val="20"/>
              </w:rPr>
            </w:pPr>
            <w:r w:rsidRPr="00235002">
              <w:rPr>
                <w:rFonts w:ascii="Arial" w:eastAsia="Calibri" w:hAnsi="Arial" w:cs="Arial"/>
                <w:color w:val="000000" w:themeColor="text1"/>
                <w:sz w:val="20"/>
                <w:szCs w:val="20"/>
              </w:rPr>
              <w:t xml:space="preserve">Planning Capacity </w:t>
            </w:r>
          </w:p>
          <w:p w14:paraId="6C172871" w14:textId="457CD0E8" w:rsidR="003E72B7" w:rsidRPr="00235002" w:rsidRDefault="003E72B7" w:rsidP="00376CCD">
            <w:pPr>
              <w:rPr>
                <w:rFonts w:ascii="Arial" w:eastAsia="Calibri" w:hAnsi="Arial" w:cs="Arial"/>
                <w:color w:val="000000" w:themeColor="text1"/>
                <w:sz w:val="20"/>
                <w:szCs w:val="20"/>
              </w:rPr>
            </w:pPr>
            <w:r w:rsidRPr="00235002">
              <w:rPr>
                <w:rFonts w:ascii="Arial" w:eastAsia="Calibri" w:hAnsi="Arial" w:cs="Arial"/>
                <w:color w:val="000000" w:themeColor="text1"/>
                <w:sz w:val="20"/>
                <w:szCs w:val="20"/>
              </w:rPr>
              <w:t>Building Fund</w:t>
            </w:r>
          </w:p>
        </w:tc>
        <w:tc>
          <w:tcPr>
            <w:tcW w:w="12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776352" w14:textId="77777777" w:rsidR="003E72B7" w:rsidRPr="00235002" w:rsidRDefault="003E72B7" w:rsidP="00376CCD">
            <w:pPr>
              <w:jc w:val="center"/>
              <w:rPr>
                <w:rFonts w:ascii="Arial" w:eastAsia="Calibri" w:hAnsi="Arial" w:cs="Arial"/>
                <w:color w:val="000000" w:themeColor="text1"/>
                <w:sz w:val="20"/>
                <w:szCs w:val="20"/>
              </w:rPr>
            </w:pPr>
            <w:r w:rsidRPr="00235002">
              <w:rPr>
                <w:rFonts w:ascii="Arial" w:eastAsia="Calibri" w:hAnsi="Arial" w:cs="Arial"/>
                <w:color w:val="000000" w:themeColor="text1"/>
                <w:sz w:val="20"/>
                <w:szCs w:val="20"/>
              </w:rPr>
              <w:t>24 months</w:t>
            </w:r>
          </w:p>
        </w:tc>
        <w:tc>
          <w:tcPr>
            <w:tcW w:w="2513" w:type="dxa"/>
            <w:vMerge/>
            <w:tcBorders>
              <w:left w:val="nil"/>
              <w:right w:val="single" w:sz="8" w:space="0" w:color="auto"/>
            </w:tcBorders>
            <w:tcMar>
              <w:top w:w="0" w:type="dxa"/>
              <w:left w:w="108" w:type="dxa"/>
              <w:bottom w:w="0" w:type="dxa"/>
              <w:right w:w="108" w:type="dxa"/>
            </w:tcMar>
            <w:hideMark/>
          </w:tcPr>
          <w:p w14:paraId="322A2CC3" w14:textId="6F5A8E72" w:rsidR="003E72B7" w:rsidRPr="00235002" w:rsidRDefault="003E72B7" w:rsidP="00D562A2">
            <w:pPr>
              <w:rPr>
                <w:rFonts w:ascii="Arial" w:eastAsia="Calibri" w:hAnsi="Arial" w:cs="Arial"/>
                <w:color w:val="000000" w:themeColor="text1"/>
                <w:sz w:val="20"/>
                <w:szCs w:val="20"/>
              </w:rPr>
            </w:pPr>
          </w:p>
        </w:tc>
        <w:tc>
          <w:tcPr>
            <w:tcW w:w="2520" w:type="dxa"/>
            <w:vMerge/>
            <w:tcBorders>
              <w:left w:val="nil"/>
              <w:right w:val="single" w:sz="8" w:space="0" w:color="auto"/>
            </w:tcBorders>
            <w:tcMar>
              <w:top w:w="0" w:type="dxa"/>
              <w:left w:w="108" w:type="dxa"/>
              <w:bottom w:w="0" w:type="dxa"/>
              <w:right w:w="108" w:type="dxa"/>
            </w:tcMar>
            <w:hideMark/>
          </w:tcPr>
          <w:p w14:paraId="170404DE" w14:textId="296C6E07" w:rsidR="003E72B7" w:rsidRPr="00E17B20" w:rsidRDefault="003E72B7" w:rsidP="004F3905">
            <w:pPr>
              <w:jc w:val="both"/>
              <w:rPr>
                <w:rFonts w:ascii="Arial" w:eastAsia="Calibri" w:hAnsi="Arial" w:cs="Arial"/>
                <w:sz w:val="20"/>
                <w:szCs w:val="20"/>
              </w:rPr>
            </w:pPr>
          </w:p>
        </w:tc>
      </w:tr>
      <w:tr w:rsidR="003E72B7" w:rsidRPr="00E17B20" w14:paraId="03ED8302" w14:textId="77777777" w:rsidTr="003E72B7">
        <w:tc>
          <w:tcPr>
            <w:tcW w:w="26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60DD5E4" w14:textId="77777777" w:rsidR="003E72B7" w:rsidRDefault="003E72B7" w:rsidP="00376CCD">
            <w:pPr>
              <w:rPr>
                <w:rFonts w:ascii="Arial" w:eastAsia="Calibri" w:hAnsi="Arial" w:cs="Arial"/>
                <w:color w:val="000000" w:themeColor="text1"/>
                <w:sz w:val="20"/>
                <w:szCs w:val="20"/>
              </w:rPr>
            </w:pPr>
            <w:r w:rsidRPr="00235002">
              <w:rPr>
                <w:rFonts w:ascii="Arial" w:eastAsia="Calibri" w:hAnsi="Arial" w:cs="Arial"/>
                <w:color w:val="000000" w:themeColor="text1"/>
                <w:sz w:val="20"/>
                <w:szCs w:val="20"/>
              </w:rPr>
              <w:t xml:space="preserve">Community </w:t>
            </w:r>
          </w:p>
          <w:p w14:paraId="52A459D0" w14:textId="72D9BBFD" w:rsidR="003E72B7" w:rsidRPr="00235002" w:rsidRDefault="003E72B7" w:rsidP="00376CCD">
            <w:pPr>
              <w:rPr>
                <w:rFonts w:ascii="Arial" w:eastAsia="Calibri" w:hAnsi="Arial" w:cs="Arial"/>
                <w:color w:val="000000" w:themeColor="text1"/>
                <w:sz w:val="20"/>
                <w:szCs w:val="20"/>
              </w:rPr>
            </w:pPr>
            <w:r w:rsidRPr="00235002">
              <w:rPr>
                <w:rFonts w:ascii="Arial" w:eastAsia="Calibri" w:hAnsi="Arial" w:cs="Arial"/>
                <w:color w:val="000000" w:themeColor="text1"/>
                <w:sz w:val="20"/>
                <w:szCs w:val="20"/>
              </w:rPr>
              <w:t>Enhancement Fund</w:t>
            </w:r>
          </w:p>
        </w:tc>
        <w:tc>
          <w:tcPr>
            <w:tcW w:w="12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166A71" w14:textId="77777777" w:rsidR="003E72B7" w:rsidRPr="00235002" w:rsidRDefault="003E72B7" w:rsidP="00376CCD">
            <w:pPr>
              <w:jc w:val="center"/>
              <w:rPr>
                <w:rFonts w:ascii="Arial" w:eastAsia="Calibri" w:hAnsi="Arial" w:cs="Arial"/>
                <w:color w:val="000000" w:themeColor="text1"/>
                <w:sz w:val="20"/>
                <w:szCs w:val="20"/>
              </w:rPr>
            </w:pPr>
            <w:r w:rsidRPr="00235002">
              <w:rPr>
                <w:rFonts w:ascii="Arial" w:eastAsia="Calibri" w:hAnsi="Arial" w:cs="Arial"/>
                <w:color w:val="000000" w:themeColor="text1"/>
                <w:sz w:val="20"/>
                <w:szCs w:val="20"/>
              </w:rPr>
              <w:t>24 months</w:t>
            </w:r>
          </w:p>
        </w:tc>
        <w:tc>
          <w:tcPr>
            <w:tcW w:w="2513" w:type="dxa"/>
            <w:vMerge/>
            <w:tcBorders>
              <w:left w:val="nil"/>
              <w:bottom w:val="single" w:sz="8" w:space="0" w:color="auto"/>
              <w:right w:val="single" w:sz="8" w:space="0" w:color="auto"/>
            </w:tcBorders>
            <w:tcMar>
              <w:top w:w="0" w:type="dxa"/>
              <w:left w:w="108" w:type="dxa"/>
              <w:bottom w:w="0" w:type="dxa"/>
              <w:right w:w="108" w:type="dxa"/>
            </w:tcMar>
            <w:hideMark/>
          </w:tcPr>
          <w:p w14:paraId="24FE176B" w14:textId="4DB29FBC" w:rsidR="003E72B7" w:rsidRPr="00235002" w:rsidRDefault="003E72B7" w:rsidP="00D562A2">
            <w:pPr>
              <w:rPr>
                <w:rFonts w:ascii="Arial" w:eastAsia="Calibri" w:hAnsi="Arial" w:cs="Arial"/>
                <w:color w:val="000000" w:themeColor="text1"/>
                <w:sz w:val="20"/>
                <w:szCs w:val="20"/>
              </w:rPr>
            </w:pPr>
          </w:p>
        </w:tc>
        <w:tc>
          <w:tcPr>
            <w:tcW w:w="2520" w:type="dxa"/>
            <w:vMerge/>
            <w:tcBorders>
              <w:left w:val="nil"/>
              <w:bottom w:val="single" w:sz="8" w:space="0" w:color="auto"/>
              <w:right w:val="single" w:sz="8" w:space="0" w:color="auto"/>
            </w:tcBorders>
            <w:tcMar>
              <w:top w:w="0" w:type="dxa"/>
              <w:left w:w="108" w:type="dxa"/>
              <w:bottom w:w="0" w:type="dxa"/>
              <w:right w:w="108" w:type="dxa"/>
            </w:tcMar>
            <w:hideMark/>
          </w:tcPr>
          <w:p w14:paraId="42D51759" w14:textId="10FCE2DD" w:rsidR="003E72B7" w:rsidRPr="00E17B20" w:rsidRDefault="003E72B7" w:rsidP="004F3905">
            <w:pPr>
              <w:jc w:val="both"/>
              <w:rPr>
                <w:rFonts w:ascii="Arial" w:eastAsia="Calibri" w:hAnsi="Arial" w:cs="Arial"/>
                <w:sz w:val="20"/>
                <w:szCs w:val="20"/>
              </w:rPr>
            </w:pPr>
          </w:p>
        </w:tc>
      </w:tr>
      <w:tr w:rsidR="006A033F" w:rsidRPr="00E17B20" w14:paraId="62D79FEF" w14:textId="77777777" w:rsidTr="003E72B7">
        <w:tc>
          <w:tcPr>
            <w:tcW w:w="26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9D88B8B" w14:textId="77777777" w:rsidR="00FF680E" w:rsidRDefault="004F3905" w:rsidP="00376CCD">
            <w:pPr>
              <w:rPr>
                <w:rFonts w:ascii="Arial" w:eastAsia="Calibri" w:hAnsi="Arial" w:cs="Arial"/>
                <w:color w:val="000000" w:themeColor="text1"/>
                <w:sz w:val="20"/>
                <w:szCs w:val="20"/>
              </w:rPr>
            </w:pPr>
            <w:r w:rsidRPr="00235002">
              <w:rPr>
                <w:rFonts w:ascii="Arial" w:eastAsia="Calibri" w:hAnsi="Arial" w:cs="Arial"/>
                <w:color w:val="000000" w:themeColor="text1"/>
                <w:sz w:val="20"/>
                <w:szCs w:val="20"/>
              </w:rPr>
              <w:t>TCF Infrastructure</w:t>
            </w:r>
            <w:r w:rsidR="00FF680E">
              <w:rPr>
                <w:rFonts w:ascii="Arial" w:eastAsia="Calibri" w:hAnsi="Arial" w:cs="Arial"/>
                <w:color w:val="000000" w:themeColor="text1"/>
                <w:sz w:val="20"/>
                <w:szCs w:val="20"/>
              </w:rPr>
              <w:t xml:space="preserve"> </w:t>
            </w:r>
          </w:p>
          <w:p w14:paraId="49C796C1" w14:textId="677EE308" w:rsidR="004F3905" w:rsidRPr="00235002" w:rsidRDefault="00FF680E" w:rsidP="00376CCD">
            <w:pPr>
              <w:rPr>
                <w:rFonts w:ascii="Arial" w:eastAsia="Calibri" w:hAnsi="Arial" w:cs="Arial"/>
                <w:color w:val="000000" w:themeColor="text1"/>
                <w:sz w:val="20"/>
                <w:szCs w:val="20"/>
              </w:rPr>
            </w:pPr>
            <w:r>
              <w:rPr>
                <w:rFonts w:ascii="Arial" w:eastAsia="Calibri" w:hAnsi="Arial" w:cs="Arial"/>
                <w:color w:val="000000" w:themeColor="text1"/>
                <w:sz w:val="20"/>
                <w:szCs w:val="20"/>
              </w:rPr>
              <w:t xml:space="preserve">and </w:t>
            </w:r>
            <w:r w:rsidR="004F3905" w:rsidRPr="00235002">
              <w:rPr>
                <w:rFonts w:ascii="Arial" w:eastAsia="Calibri" w:hAnsi="Arial" w:cs="Arial"/>
                <w:color w:val="000000" w:themeColor="text1"/>
                <w:sz w:val="20"/>
                <w:szCs w:val="20"/>
              </w:rPr>
              <w:t>Real Estate</w:t>
            </w:r>
          </w:p>
        </w:tc>
        <w:tc>
          <w:tcPr>
            <w:tcW w:w="12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EF3858" w14:textId="77777777" w:rsidR="004F3905" w:rsidRPr="00235002" w:rsidRDefault="004F3905" w:rsidP="00376CCD">
            <w:pPr>
              <w:jc w:val="center"/>
              <w:rPr>
                <w:rFonts w:ascii="Arial" w:eastAsia="Calibri" w:hAnsi="Arial" w:cs="Arial"/>
                <w:color w:val="000000" w:themeColor="text1"/>
                <w:sz w:val="20"/>
                <w:szCs w:val="20"/>
              </w:rPr>
            </w:pPr>
            <w:r w:rsidRPr="00235002">
              <w:rPr>
                <w:rFonts w:ascii="Arial" w:eastAsia="Calibri" w:hAnsi="Arial" w:cs="Arial"/>
                <w:color w:val="000000" w:themeColor="text1"/>
                <w:sz w:val="20"/>
                <w:szCs w:val="20"/>
              </w:rPr>
              <w:t>36 months</w:t>
            </w:r>
          </w:p>
        </w:tc>
        <w:tc>
          <w:tcPr>
            <w:tcW w:w="2513" w:type="dxa"/>
            <w:tcBorders>
              <w:top w:val="nil"/>
              <w:left w:val="nil"/>
              <w:bottom w:val="single" w:sz="8" w:space="0" w:color="auto"/>
              <w:right w:val="single" w:sz="8" w:space="0" w:color="auto"/>
            </w:tcBorders>
            <w:tcMar>
              <w:top w:w="0" w:type="dxa"/>
              <w:left w:w="108" w:type="dxa"/>
              <w:bottom w:w="0" w:type="dxa"/>
              <w:right w:w="108" w:type="dxa"/>
            </w:tcMar>
            <w:hideMark/>
          </w:tcPr>
          <w:p w14:paraId="2EFF4E08" w14:textId="77777777" w:rsidR="003E72B7" w:rsidRDefault="004F3905" w:rsidP="00D562A2">
            <w:pPr>
              <w:rPr>
                <w:rFonts w:ascii="Arial" w:eastAsia="Calibri" w:hAnsi="Arial" w:cs="Arial"/>
                <w:color w:val="000000" w:themeColor="text1"/>
                <w:sz w:val="20"/>
                <w:szCs w:val="20"/>
              </w:rPr>
            </w:pPr>
            <w:r w:rsidRPr="00235002">
              <w:rPr>
                <w:rFonts w:ascii="Arial" w:eastAsia="Calibri" w:hAnsi="Arial" w:cs="Arial"/>
                <w:color w:val="000000" w:themeColor="text1"/>
                <w:sz w:val="20"/>
                <w:szCs w:val="20"/>
              </w:rPr>
              <w:t>18 months</w:t>
            </w:r>
            <w:r w:rsidR="00745CC2">
              <w:rPr>
                <w:rFonts w:ascii="Arial" w:eastAsia="Calibri" w:hAnsi="Arial" w:cs="Arial"/>
                <w:color w:val="000000" w:themeColor="text1"/>
                <w:sz w:val="20"/>
                <w:szCs w:val="20"/>
              </w:rPr>
              <w:t xml:space="preserve"> after </w:t>
            </w:r>
          </w:p>
          <w:p w14:paraId="5C512D5B" w14:textId="7B6363F9" w:rsidR="004F3905" w:rsidRPr="00235002" w:rsidRDefault="00745CC2" w:rsidP="00D562A2">
            <w:pPr>
              <w:rPr>
                <w:rFonts w:ascii="Arial" w:eastAsia="Calibri" w:hAnsi="Arial" w:cs="Arial"/>
                <w:color w:val="000000" w:themeColor="text1"/>
                <w:sz w:val="20"/>
                <w:szCs w:val="20"/>
              </w:rPr>
            </w:pPr>
            <w:r>
              <w:rPr>
                <w:rFonts w:ascii="Arial" w:eastAsia="Calibri" w:hAnsi="Arial" w:cs="Arial"/>
                <w:color w:val="000000" w:themeColor="text1"/>
                <w:sz w:val="20"/>
                <w:szCs w:val="20"/>
              </w:rPr>
              <w:t>agreement start date</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14:paraId="31ED11E3" w14:textId="77777777" w:rsidR="003E72B7" w:rsidRDefault="004F3905" w:rsidP="004F3905">
            <w:pPr>
              <w:jc w:val="both"/>
              <w:rPr>
                <w:rFonts w:ascii="Arial" w:eastAsia="Calibri" w:hAnsi="Arial" w:cs="Arial"/>
                <w:color w:val="000000" w:themeColor="text1"/>
                <w:sz w:val="20"/>
                <w:szCs w:val="20"/>
              </w:rPr>
            </w:pPr>
            <w:r w:rsidRPr="00E17B20">
              <w:rPr>
                <w:rFonts w:ascii="Arial" w:eastAsia="Calibri" w:hAnsi="Arial" w:cs="Arial"/>
                <w:sz w:val="20"/>
                <w:szCs w:val="20"/>
              </w:rPr>
              <w:t>36 months</w:t>
            </w:r>
            <w:r w:rsidR="00745CC2">
              <w:rPr>
                <w:rFonts w:ascii="Arial" w:eastAsia="Calibri" w:hAnsi="Arial" w:cs="Arial"/>
                <w:color w:val="000000" w:themeColor="text1"/>
                <w:sz w:val="20"/>
                <w:szCs w:val="20"/>
              </w:rPr>
              <w:t xml:space="preserve"> after </w:t>
            </w:r>
          </w:p>
          <w:p w14:paraId="3145EE66" w14:textId="15E94AF3" w:rsidR="004F3905" w:rsidRPr="00E17B20" w:rsidRDefault="00745CC2" w:rsidP="004F3905">
            <w:pPr>
              <w:jc w:val="both"/>
              <w:rPr>
                <w:rFonts w:ascii="Arial" w:eastAsia="Calibri" w:hAnsi="Arial" w:cs="Arial"/>
                <w:sz w:val="20"/>
                <w:szCs w:val="20"/>
              </w:rPr>
            </w:pPr>
            <w:r>
              <w:rPr>
                <w:rFonts w:ascii="Arial" w:eastAsia="Calibri" w:hAnsi="Arial" w:cs="Arial"/>
                <w:color w:val="000000" w:themeColor="text1"/>
                <w:sz w:val="20"/>
                <w:szCs w:val="20"/>
              </w:rPr>
              <w:t>agreement start date</w:t>
            </w:r>
          </w:p>
        </w:tc>
      </w:tr>
    </w:tbl>
    <w:p w14:paraId="26B28B66" w14:textId="77777777" w:rsidR="0021057F" w:rsidRPr="0021057F" w:rsidRDefault="0021057F" w:rsidP="007819CD">
      <w:pPr>
        <w:rPr>
          <w:rFonts w:ascii="Arial" w:hAnsi="Arial" w:cs="Arial"/>
          <w:snapToGrid w:val="0"/>
          <w:sz w:val="22"/>
          <w:szCs w:val="22"/>
        </w:rPr>
      </w:pPr>
    </w:p>
    <w:p w14:paraId="2A9A9322" w14:textId="17A2282D" w:rsidR="004F3905" w:rsidRDefault="00784105" w:rsidP="007819CD">
      <w:pPr>
        <w:rPr>
          <w:rFonts w:ascii="Arial" w:hAnsi="Arial" w:cs="Arial"/>
          <w:bCs/>
          <w:sz w:val="22"/>
          <w:szCs w:val="22"/>
        </w:rPr>
      </w:pPr>
      <w:r w:rsidRPr="00784105">
        <w:rPr>
          <w:rFonts w:ascii="Arial" w:hAnsi="Arial" w:cs="Arial"/>
          <w:bCs/>
          <w:sz w:val="22"/>
          <w:szCs w:val="22"/>
        </w:rPr>
        <w:t>There are two types of Progress Thresholds, each applicable to TxCDBG agreements where the Agreement Start date is at least the identified number of months prior to the application due date under consideration</w:t>
      </w:r>
      <w:r>
        <w:rPr>
          <w:rFonts w:ascii="Arial" w:hAnsi="Arial" w:cs="Arial"/>
          <w:bCs/>
          <w:sz w:val="22"/>
          <w:szCs w:val="22"/>
        </w:rPr>
        <w:t>.</w:t>
      </w:r>
    </w:p>
    <w:p w14:paraId="42EBFC99" w14:textId="77777777" w:rsidR="00784105" w:rsidRPr="00784105" w:rsidRDefault="00784105" w:rsidP="007819CD">
      <w:pPr>
        <w:rPr>
          <w:rFonts w:ascii="Arial" w:hAnsi="Arial" w:cs="Arial"/>
          <w:bCs/>
          <w:sz w:val="22"/>
          <w:szCs w:val="22"/>
        </w:rPr>
      </w:pPr>
    </w:p>
    <w:p w14:paraId="596F3E36" w14:textId="5881BB64" w:rsidR="005D5A0C" w:rsidRPr="003E72B7" w:rsidRDefault="003E72B7" w:rsidP="00997D7D">
      <w:pPr>
        <w:pStyle w:val="Heading7"/>
        <w:keepNext w:val="0"/>
        <w:widowControl w:val="0"/>
        <w:numPr>
          <w:ilvl w:val="0"/>
          <w:numId w:val="23"/>
        </w:numPr>
        <w:spacing w:line="280" w:lineRule="exact"/>
        <w:jc w:val="both"/>
        <w:rPr>
          <w:rFonts w:ascii="Arial" w:hAnsi="Arial" w:cs="Arial"/>
          <w:snapToGrid w:val="0"/>
          <w:sz w:val="22"/>
          <w:szCs w:val="22"/>
          <w:u w:val="none"/>
        </w:rPr>
      </w:pPr>
      <w:bookmarkStart w:id="17" w:name="_Toc504554632"/>
      <w:bookmarkStart w:id="18" w:name="_Toc7269193"/>
      <w:bookmarkStart w:id="19" w:name="_Toc37836162"/>
      <w:bookmarkStart w:id="20" w:name="_Toc38100282"/>
      <w:bookmarkStart w:id="21" w:name="_Toc504554661"/>
      <w:bookmarkStart w:id="22" w:name="_Toc7269273"/>
      <w:bookmarkStart w:id="23" w:name="_Toc38100398"/>
      <w:bookmarkEnd w:id="14"/>
      <w:bookmarkEnd w:id="15"/>
      <w:r w:rsidRPr="00745CC2">
        <w:rPr>
          <w:rFonts w:ascii="Arial" w:hAnsi="Arial" w:cs="Arial"/>
          <w:b/>
          <w:sz w:val="22"/>
          <w:szCs w:val="22"/>
          <w:u w:val="none"/>
        </w:rPr>
        <w:t>Mid-Point</w:t>
      </w:r>
      <w:r w:rsidR="00690BF6" w:rsidRPr="00745CC2">
        <w:rPr>
          <w:rFonts w:ascii="Arial" w:hAnsi="Arial" w:cs="Arial"/>
          <w:b/>
          <w:sz w:val="22"/>
          <w:szCs w:val="22"/>
          <w:u w:val="none"/>
        </w:rPr>
        <w:t xml:space="preserve"> </w:t>
      </w:r>
      <w:r w:rsidR="00BE1010" w:rsidRPr="00745CC2">
        <w:rPr>
          <w:rFonts w:ascii="Arial" w:hAnsi="Arial" w:cs="Arial"/>
          <w:b/>
          <w:sz w:val="22"/>
          <w:szCs w:val="22"/>
          <w:u w:val="none"/>
        </w:rPr>
        <w:t xml:space="preserve">Progress </w:t>
      </w:r>
      <w:r w:rsidR="003545CC" w:rsidRPr="00745CC2">
        <w:rPr>
          <w:rFonts w:ascii="Arial" w:hAnsi="Arial" w:cs="Arial"/>
          <w:b/>
          <w:sz w:val="22"/>
          <w:szCs w:val="22"/>
          <w:u w:val="none"/>
        </w:rPr>
        <w:t xml:space="preserve">Threshold </w:t>
      </w:r>
      <w:r w:rsidR="003545CC" w:rsidRPr="003E72B7">
        <w:rPr>
          <w:rFonts w:ascii="Arial" w:hAnsi="Arial" w:cs="Arial"/>
          <w:b/>
          <w:sz w:val="22"/>
          <w:szCs w:val="22"/>
          <w:u w:val="none"/>
        </w:rPr>
        <w:t>Requirement</w:t>
      </w:r>
      <w:r w:rsidR="001375DD" w:rsidRPr="003E72B7">
        <w:rPr>
          <w:rFonts w:ascii="Arial" w:hAnsi="Arial" w:cs="Arial"/>
          <w:sz w:val="22"/>
          <w:szCs w:val="22"/>
          <w:u w:val="none"/>
        </w:rPr>
        <w:t xml:space="preserve"> – </w:t>
      </w:r>
      <w:r w:rsidR="005D5A0C" w:rsidRPr="003E72B7">
        <w:rPr>
          <w:rFonts w:ascii="Arial" w:hAnsi="Arial" w:cs="Arial"/>
          <w:sz w:val="22"/>
          <w:szCs w:val="22"/>
          <w:u w:val="none"/>
        </w:rPr>
        <w:t xml:space="preserve">This rule requires applicants for </w:t>
      </w:r>
      <w:r w:rsidR="00503745" w:rsidRPr="003E72B7">
        <w:rPr>
          <w:rFonts w:ascii="Arial" w:hAnsi="Arial" w:cs="Arial"/>
          <w:sz w:val="22"/>
          <w:szCs w:val="22"/>
          <w:u w:val="none"/>
        </w:rPr>
        <w:t xml:space="preserve">future </w:t>
      </w:r>
      <w:r w:rsidR="005D5A0C" w:rsidRPr="003E72B7">
        <w:rPr>
          <w:rFonts w:ascii="Arial" w:hAnsi="Arial" w:cs="Arial"/>
          <w:sz w:val="22"/>
          <w:szCs w:val="22"/>
          <w:u w:val="none"/>
        </w:rPr>
        <w:t xml:space="preserve">TxCDBG funding with existing TxCDBG </w:t>
      </w:r>
      <w:r w:rsidR="00745CC2" w:rsidRPr="003E72B7">
        <w:rPr>
          <w:rFonts w:ascii="Arial" w:hAnsi="Arial" w:cs="Arial"/>
          <w:sz w:val="22"/>
          <w:szCs w:val="22"/>
          <w:u w:val="none"/>
        </w:rPr>
        <w:t xml:space="preserve">agreements for which the threshold date has passed to submit all Group A and Group B documents for that grant </w:t>
      </w:r>
      <w:proofErr w:type="gramStart"/>
      <w:r w:rsidR="00745CC2" w:rsidRPr="003E72B7">
        <w:rPr>
          <w:rFonts w:ascii="Arial" w:hAnsi="Arial" w:cs="Arial"/>
          <w:sz w:val="22"/>
          <w:szCs w:val="22"/>
          <w:u w:val="none"/>
        </w:rPr>
        <w:t>in order to</w:t>
      </w:r>
      <w:proofErr w:type="gramEnd"/>
      <w:r w:rsidR="00745CC2" w:rsidRPr="003E72B7">
        <w:rPr>
          <w:rFonts w:ascii="Arial" w:hAnsi="Arial" w:cs="Arial"/>
          <w:sz w:val="22"/>
          <w:szCs w:val="22"/>
          <w:u w:val="none"/>
        </w:rPr>
        <w:t xml:space="preserve"> be eligible to submit a new grant application.   </w:t>
      </w:r>
    </w:p>
    <w:p w14:paraId="13EE3795" w14:textId="77777777" w:rsidR="00930652" w:rsidRDefault="00930652" w:rsidP="001375DD">
      <w:pPr>
        <w:spacing w:line="280" w:lineRule="exact"/>
        <w:jc w:val="both"/>
        <w:rPr>
          <w:rFonts w:ascii="Arial" w:hAnsi="Arial" w:cs="Arial"/>
          <w:snapToGrid w:val="0"/>
          <w:sz w:val="22"/>
          <w:szCs w:val="22"/>
        </w:rPr>
      </w:pPr>
    </w:p>
    <w:p w14:paraId="555C8570" w14:textId="5C4CDE64" w:rsidR="00C8544C" w:rsidRPr="00235002" w:rsidRDefault="00745CC2" w:rsidP="001375DD">
      <w:pPr>
        <w:pStyle w:val="Heading7"/>
        <w:keepNext w:val="0"/>
        <w:widowControl w:val="0"/>
        <w:numPr>
          <w:ilvl w:val="0"/>
          <w:numId w:val="23"/>
        </w:numPr>
        <w:spacing w:line="280" w:lineRule="exact"/>
        <w:rPr>
          <w:rFonts w:ascii="Arial" w:hAnsi="Arial" w:cs="Arial"/>
          <w:snapToGrid w:val="0"/>
          <w:color w:val="000000" w:themeColor="text1"/>
          <w:sz w:val="22"/>
          <w:szCs w:val="22"/>
          <w:u w:val="none"/>
        </w:rPr>
      </w:pPr>
      <w:r>
        <w:rPr>
          <w:rFonts w:ascii="Arial" w:hAnsi="Arial" w:cs="Arial"/>
          <w:b/>
          <w:snapToGrid w:val="0"/>
          <w:sz w:val="22"/>
          <w:szCs w:val="22"/>
          <w:u w:val="none"/>
        </w:rPr>
        <w:t xml:space="preserve">Final </w:t>
      </w:r>
      <w:r w:rsidR="00BE1010">
        <w:rPr>
          <w:rFonts w:ascii="Arial" w:hAnsi="Arial" w:cs="Arial"/>
          <w:b/>
          <w:snapToGrid w:val="0"/>
          <w:sz w:val="22"/>
          <w:szCs w:val="22"/>
          <w:u w:val="none"/>
        </w:rPr>
        <w:t>Progress</w:t>
      </w:r>
      <w:r w:rsidR="00BE1010" w:rsidRPr="00E17B20">
        <w:rPr>
          <w:rFonts w:ascii="Arial" w:hAnsi="Arial" w:cs="Arial"/>
          <w:b/>
          <w:snapToGrid w:val="0"/>
          <w:sz w:val="22"/>
          <w:szCs w:val="22"/>
          <w:u w:val="none"/>
        </w:rPr>
        <w:t xml:space="preserve"> </w:t>
      </w:r>
      <w:r w:rsidR="000E2E38" w:rsidRPr="00E17B20">
        <w:rPr>
          <w:rFonts w:ascii="Arial" w:hAnsi="Arial" w:cs="Arial"/>
          <w:b/>
          <w:snapToGrid w:val="0"/>
          <w:sz w:val="22"/>
          <w:szCs w:val="22"/>
          <w:u w:val="none"/>
        </w:rPr>
        <w:t>Threshold Requirement</w:t>
      </w:r>
      <w:bookmarkEnd w:id="17"/>
      <w:bookmarkEnd w:id="18"/>
      <w:bookmarkEnd w:id="19"/>
      <w:bookmarkEnd w:id="20"/>
      <w:r w:rsidR="001375DD">
        <w:rPr>
          <w:rFonts w:ascii="Arial" w:hAnsi="Arial" w:cs="Arial"/>
          <w:b/>
          <w:snapToGrid w:val="0"/>
          <w:sz w:val="22"/>
          <w:szCs w:val="22"/>
          <w:u w:val="none"/>
        </w:rPr>
        <w:t xml:space="preserve"> – </w:t>
      </w:r>
      <w:r w:rsidR="00C8544C" w:rsidRPr="00E17B20">
        <w:rPr>
          <w:rFonts w:ascii="Arial" w:hAnsi="Arial" w:cs="Arial"/>
          <w:snapToGrid w:val="0"/>
          <w:sz w:val="22"/>
          <w:szCs w:val="22"/>
          <w:u w:val="none"/>
        </w:rPr>
        <w:t xml:space="preserve">This rule requires the </w:t>
      </w:r>
      <w:r w:rsidR="003756F1" w:rsidRPr="00E17B20">
        <w:rPr>
          <w:rFonts w:ascii="Arial" w:hAnsi="Arial" w:cs="Arial"/>
          <w:snapToGrid w:val="0"/>
          <w:sz w:val="22"/>
          <w:szCs w:val="22"/>
          <w:u w:val="none"/>
        </w:rPr>
        <w:t>Grant Recipient</w:t>
      </w:r>
      <w:r w:rsidR="00C8544C" w:rsidRPr="00E17B20">
        <w:rPr>
          <w:rFonts w:ascii="Arial" w:hAnsi="Arial" w:cs="Arial"/>
          <w:snapToGrid w:val="0"/>
          <w:sz w:val="22"/>
          <w:szCs w:val="22"/>
          <w:u w:val="none"/>
        </w:rPr>
        <w:t xml:space="preserve"> to </w:t>
      </w:r>
      <w:r w:rsidR="00160867" w:rsidRPr="00E17B20">
        <w:rPr>
          <w:rFonts w:ascii="Arial" w:hAnsi="Arial" w:cs="Arial"/>
          <w:snapToGrid w:val="0"/>
          <w:sz w:val="22"/>
          <w:szCs w:val="22"/>
          <w:u w:val="none"/>
        </w:rPr>
        <w:t>complete its TxCDBG project</w:t>
      </w:r>
      <w:r w:rsidR="00C8544C" w:rsidRPr="00E17B20">
        <w:rPr>
          <w:rFonts w:ascii="Arial" w:hAnsi="Arial" w:cs="Arial"/>
          <w:snapToGrid w:val="0"/>
          <w:sz w:val="22"/>
          <w:szCs w:val="22"/>
          <w:u w:val="none"/>
        </w:rPr>
        <w:t xml:space="preserve"> prior to appl</w:t>
      </w:r>
      <w:r w:rsidR="000E2E38" w:rsidRPr="00E17B20">
        <w:rPr>
          <w:rFonts w:ascii="Arial" w:hAnsi="Arial" w:cs="Arial"/>
          <w:snapToGrid w:val="0"/>
          <w:sz w:val="22"/>
          <w:szCs w:val="22"/>
          <w:u w:val="none"/>
        </w:rPr>
        <w:t>ying for future TxCDBG funding.</w:t>
      </w:r>
      <w:r w:rsidR="00C8544C" w:rsidRPr="00E17B20">
        <w:rPr>
          <w:rFonts w:ascii="Arial" w:hAnsi="Arial" w:cs="Arial"/>
          <w:snapToGrid w:val="0"/>
          <w:sz w:val="22"/>
          <w:szCs w:val="22"/>
          <w:u w:val="none"/>
        </w:rPr>
        <w:t xml:space="preserve"> </w:t>
      </w:r>
      <w:r w:rsidR="002575D1">
        <w:rPr>
          <w:rFonts w:ascii="Arial" w:hAnsi="Arial" w:cs="Arial"/>
          <w:snapToGrid w:val="0"/>
          <w:sz w:val="22"/>
          <w:szCs w:val="22"/>
          <w:u w:val="none"/>
        </w:rPr>
        <w:t>T</w:t>
      </w:r>
      <w:r>
        <w:rPr>
          <w:rFonts w:ascii="Arial" w:hAnsi="Arial" w:cs="Arial"/>
          <w:snapToGrid w:val="0"/>
          <w:sz w:val="22"/>
          <w:szCs w:val="22"/>
          <w:u w:val="none"/>
        </w:rPr>
        <w:t>he Grant Recipient is considered to have met</w:t>
      </w:r>
      <w:r w:rsidR="00C8544C" w:rsidRPr="00E17B20">
        <w:rPr>
          <w:rFonts w:ascii="Arial" w:hAnsi="Arial" w:cs="Arial"/>
          <w:snapToGrid w:val="0"/>
          <w:sz w:val="22"/>
          <w:szCs w:val="22"/>
          <w:u w:val="none"/>
        </w:rPr>
        <w:t xml:space="preserve"> the </w:t>
      </w:r>
      <w:r>
        <w:rPr>
          <w:rFonts w:ascii="Arial" w:hAnsi="Arial" w:cs="Arial"/>
          <w:snapToGrid w:val="0"/>
          <w:sz w:val="22"/>
          <w:szCs w:val="22"/>
          <w:u w:val="none"/>
        </w:rPr>
        <w:t xml:space="preserve">Final </w:t>
      </w:r>
      <w:r w:rsidR="00BE1010">
        <w:rPr>
          <w:rFonts w:ascii="Arial" w:hAnsi="Arial" w:cs="Arial"/>
          <w:snapToGrid w:val="0"/>
          <w:sz w:val="22"/>
          <w:szCs w:val="22"/>
          <w:u w:val="none"/>
        </w:rPr>
        <w:t>Progress</w:t>
      </w:r>
      <w:r w:rsidR="00BE1010" w:rsidRPr="00E17B20">
        <w:rPr>
          <w:rFonts w:ascii="Arial" w:hAnsi="Arial" w:cs="Arial"/>
          <w:snapToGrid w:val="0"/>
          <w:sz w:val="22"/>
          <w:szCs w:val="22"/>
          <w:u w:val="none"/>
        </w:rPr>
        <w:t xml:space="preserve"> </w:t>
      </w:r>
      <w:r w:rsidR="00FC6DE6" w:rsidRPr="00E17B20">
        <w:rPr>
          <w:rFonts w:ascii="Arial" w:hAnsi="Arial" w:cs="Arial"/>
          <w:snapToGrid w:val="0"/>
          <w:sz w:val="22"/>
          <w:szCs w:val="22"/>
          <w:u w:val="none"/>
        </w:rPr>
        <w:t>T</w:t>
      </w:r>
      <w:r w:rsidR="00C8544C" w:rsidRPr="00E17B20">
        <w:rPr>
          <w:rFonts w:ascii="Arial" w:hAnsi="Arial" w:cs="Arial"/>
          <w:snapToGrid w:val="0"/>
          <w:sz w:val="22"/>
          <w:szCs w:val="22"/>
          <w:u w:val="none"/>
        </w:rPr>
        <w:t xml:space="preserve">hreshold, </w:t>
      </w:r>
      <w:r w:rsidR="00C8544C" w:rsidRPr="00235002">
        <w:rPr>
          <w:rFonts w:ascii="Arial" w:hAnsi="Arial" w:cs="Arial"/>
          <w:snapToGrid w:val="0"/>
          <w:color w:val="000000" w:themeColor="text1"/>
          <w:sz w:val="22"/>
          <w:szCs w:val="22"/>
          <w:u w:val="none"/>
        </w:rPr>
        <w:t>if</w:t>
      </w:r>
    </w:p>
    <w:p w14:paraId="5978092E" w14:textId="61C9697E" w:rsidR="00C8544C" w:rsidRPr="00235002" w:rsidRDefault="005B13BB" w:rsidP="00BB18DA">
      <w:pPr>
        <w:pStyle w:val="3BULLETarial11"/>
        <w:numPr>
          <w:ilvl w:val="1"/>
          <w:numId w:val="24"/>
        </w:numPr>
      </w:pPr>
      <w:bookmarkStart w:id="24" w:name="OLE_LINK9"/>
      <w:bookmarkStart w:id="25" w:name="OLE_LINK10"/>
      <w:bookmarkStart w:id="26" w:name="OLE_LINK11"/>
      <w:r>
        <w:rPr>
          <w:noProof/>
        </w:rPr>
        <w:t>a</w:t>
      </w:r>
      <w:r w:rsidR="00476F4E" w:rsidRPr="00235002">
        <w:rPr>
          <w:noProof/>
        </w:rPr>
        <w:t>ll activities</w:t>
      </w:r>
      <w:r w:rsidR="00C8544C" w:rsidRPr="00235002">
        <w:t xml:space="preserve"> </w:t>
      </w:r>
      <w:r w:rsidR="00C1605A" w:rsidRPr="00235002">
        <w:t xml:space="preserve">in the TxCDBG </w:t>
      </w:r>
      <w:r w:rsidR="00745CC2">
        <w:t>agreement</w:t>
      </w:r>
      <w:r w:rsidR="00745CC2" w:rsidRPr="00235002">
        <w:t xml:space="preserve"> </w:t>
      </w:r>
      <w:r w:rsidR="00C1605A" w:rsidRPr="005060C3">
        <w:rPr>
          <w:i/>
          <w:iCs/>
        </w:rPr>
        <w:t>Performance Statement</w:t>
      </w:r>
      <w:r w:rsidR="00503745" w:rsidRPr="005060C3">
        <w:rPr>
          <w:i/>
          <w:iCs/>
        </w:rPr>
        <w:t xml:space="preserve"> (Exhibit A</w:t>
      </w:r>
      <w:r w:rsidR="000A2774" w:rsidRPr="005060C3">
        <w:rPr>
          <w:i/>
          <w:iCs/>
        </w:rPr>
        <w:t>)</w:t>
      </w:r>
      <w:r w:rsidR="00C8544C" w:rsidRPr="00235002">
        <w:t xml:space="preserve"> </w:t>
      </w:r>
      <w:bookmarkEnd w:id="24"/>
      <w:r w:rsidR="00C8544C" w:rsidRPr="00235002">
        <w:t xml:space="preserve">are </w:t>
      </w:r>
      <w:proofErr w:type="gramStart"/>
      <w:r w:rsidR="00C8544C" w:rsidRPr="00235002">
        <w:t>complete;</w:t>
      </w:r>
      <w:proofErr w:type="gramEnd"/>
    </w:p>
    <w:p w14:paraId="6D050E56" w14:textId="0BED79FB" w:rsidR="00C8544C" w:rsidRPr="00235002" w:rsidRDefault="005B13BB" w:rsidP="00BB18DA">
      <w:pPr>
        <w:pStyle w:val="3BULLETarial11"/>
        <w:numPr>
          <w:ilvl w:val="1"/>
          <w:numId w:val="24"/>
        </w:numPr>
      </w:pPr>
      <w:r>
        <w:t>a</w:t>
      </w:r>
      <w:r w:rsidR="00C8544C" w:rsidRPr="00235002">
        <w:t xml:space="preserve"> </w:t>
      </w:r>
      <w:r w:rsidR="009F72F9">
        <w:t>payment request</w:t>
      </w:r>
      <w:r w:rsidR="00C8544C" w:rsidRPr="00235002">
        <w:t xml:space="preserve"> for all remaining TxC</w:t>
      </w:r>
      <w:r w:rsidR="00EE0934" w:rsidRPr="00235002">
        <w:t>DBG funds</w:t>
      </w:r>
      <w:r w:rsidR="005060C3">
        <w:t xml:space="preserve">, </w:t>
      </w:r>
      <w:r w:rsidR="00EE0934" w:rsidRPr="00235002">
        <w:t xml:space="preserve">excluding </w:t>
      </w:r>
      <w:r w:rsidR="00745CC2">
        <w:t>single</w:t>
      </w:r>
      <w:r w:rsidR="00745CC2" w:rsidRPr="00235002">
        <w:t xml:space="preserve"> </w:t>
      </w:r>
      <w:r w:rsidR="00C8544C" w:rsidRPr="00235002">
        <w:t>audit costs</w:t>
      </w:r>
      <w:r w:rsidR="00745CC2">
        <w:t xml:space="preserve"> and other costs explicitly approved in writing as reserved funds by the TxCDBG Director</w:t>
      </w:r>
      <w:r w:rsidR="005060C3">
        <w:t>,</w:t>
      </w:r>
      <w:r w:rsidR="00C8544C" w:rsidRPr="00235002">
        <w:t xml:space="preserve"> has been submitted; </w:t>
      </w:r>
      <w:r w:rsidR="007602CD" w:rsidRPr="00235002">
        <w:t>and</w:t>
      </w:r>
    </w:p>
    <w:p w14:paraId="20D8C6FD" w14:textId="44A68548" w:rsidR="001375DD" w:rsidRPr="00235002" w:rsidRDefault="005B13BB" w:rsidP="00BB18DA">
      <w:pPr>
        <w:pStyle w:val="3BULLETarial11"/>
        <w:numPr>
          <w:ilvl w:val="1"/>
          <w:numId w:val="24"/>
        </w:numPr>
      </w:pPr>
      <w:r w:rsidRPr="005060C3">
        <w:t>t</w:t>
      </w:r>
      <w:r w:rsidR="00476F4E" w:rsidRPr="005060C3">
        <w:t xml:space="preserve">he </w:t>
      </w:r>
      <w:r w:rsidR="00C8544C" w:rsidRPr="005060C3">
        <w:t xml:space="preserve">Project Completion Report </w:t>
      </w:r>
      <w:r w:rsidR="00307A3D" w:rsidRPr="005060C3">
        <w:t xml:space="preserve">(PCR) </w:t>
      </w:r>
      <w:r w:rsidR="00C8544C" w:rsidRPr="005060C3">
        <w:t>ha</w:t>
      </w:r>
      <w:r w:rsidR="00C8544C" w:rsidRPr="00235002">
        <w:t>s been submitted</w:t>
      </w:r>
      <w:r w:rsidR="00930652">
        <w:t xml:space="preserve"> in </w:t>
      </w:r>
      <w:r w:rsidR="004F435B">
        <w:t>TDA-GO</w:t>
      </w:r>
      <w:r w:rsidR="00C8544C" w:rsidRPr="00235002">
        <w:t>.</w:t>
      </w:r>
    </w:p>
    <w:bookmarkEnd w:id="25"/>
    <w:bookmarkEnd w:id="26"/>
    <w:p w14:paraId="2D02C89A" w14:textId="77777777" w:rsidR="00C8544C" w:rsidRPr="001375DD" w:rsidRDefault="00C8544C" w:rsidP="001375DD">
      <w:pPr>
        <w:pStyle w:val="1BODY-Arial11"/>
      </w:pPr>
    </w:p>
    <w:p w14:paraId="5ED6775D" w14:textId="1967ACC7" w:rsidR="00C8544C" w:rsidRPr="001375DD" w:rsidRDefault="002F6F48" w:rsidP="00997D7D">
      <w:pPr>
        <w:pStyle w:val="1BODY-Arial11"/>
        <w:ind w:left="720"/>
      </w:pPr>
      <w:r w:rsidRPr="001375DD">
        <w:t xml:space="preserve">In those very limited instances in which the Grant Recipient cannot meet this requirement, please refer to </w:t>
      </w:r>
      <w:r w:rsidRPr="004F435B">
        <w:rPr>
          <w:i/>
          <w:iCs/>
        </w:rPr>
        <w:t>Chapter 12</w:t>
      </w:r>
      <w:r w:rsidR="00E11A5B" w:rsidRPr="001375DD">
        <w:t xml:space="preserve">, </w:t>
      </w:r>
      <w:r w:rsidR="00BA7CC2" w:rsidRPr="005B13BB">
        <w:t>Section</w:t>
      </w:r>
      <w:r w:rsidR="00D16346" w:rsidRPr="005B13BB">
        <w:t xml:space="preserve"> </w:t>
      </w:r>
      <w:r w:rsidR="00E11A5B" w:rsidRPr="005B13BB">
        <w:t>12.2.5</w:t>
      </w:r>
      <w:r w:rsidR="00BA7CC2" w:rsidRPr="005B13BB">
        <w:t>,</w:t>
      </w:r>
      <w:r w:rsidR="00BA7CC2" w:rsidRPr="001375DD">
        <w:rPr>
          <w:i/>
          <w:iCs/>
        </w:rPr>
        <w:t xml:space="preserve"> Conditional Project Completion</w:t>
      </w:r>
      <w:r w:rsidR="00BA7CC2" w:rsidRPr="001375DD">
        <w:t>,</w:t>
      </w:r>
      <w:r w:rsidRPr="001375DD">
        <w:t xml:space="preserve"> of this </w:t>
      </w:r>
      <w:r w:rsidR="001375DD">
        <w:t>m</w:t>
      </w:r>
      <w:r w:rsidRPr="001375DD">
        <w:t xml:space="preserve">anual.  </w:t>
      </w:r>
    </w:p>
    <w:p w14:paraId="64AE0632" w14:textId="77777777" w:rsidR="00DC336E" w:rsidRPr="001375DD" w:rsidRDefault="00DC336E" w:rsidP="001375DD">
      <w:pPr>
        <w:pStyle w:val="1BODY-Arial11"/>
      </w:pPr>
    </w:p>
    <w:p w14:paraId="45743713" w14:textId="201F6339" w:rsidR="00FC6DE6" w:rsidRDefault="004D09A1" w:rsidP="00997D7D">
      <w:pPr>
        <w:pStyle w:val="1BODY-Arial11"/>
        <w:ind w:left="720"/>
      </w:pPr>
      <w:r w:rsidRPr="001375DD">
        <w:t xml:space="preserve">This threshold will not prevent an eligible applicant from receiving TxCDBG </w:t>
      </w:r>
      <w:r w:rsidR="00BE1010">
        <w:t>S</w:t>
      </w:r>
      <w:r w:rsidR="00763B0D" w:rsidRPr="001375DD">
        <w:t xml:space="preserve">tate </w:t>
      </w:r>
      <w:r w:rsidR="00BE1010">
        <w:t>U</w:t>
      </w:r>
      <w:r w:rsidR="00763B0D" w:rsidRPr="001375DD">
        <w:t xml:space="preserve">rgent </w:t>
      </w:r>
      <w:r w:rsidR="00BE1010">
        <w:t>N</w:t>
      </w:r>
      <w:r w:rsidR="00763B0D" w:rsidRPr="001375DD">
        <w:t>eed</w:t>
      </w:r>
      <w:r w:rsidRPr="001375DD">
        <w:t xml:space="preserve"> </w:t>
      </w:r>
      <w:r w:rsidR="00770C6B">
        <w:t>F</w:t>
      </w:r>
      <w:r w:rsidRPr="001375DD">
        <w:t xml:space="preserve">und assistance when the applicant meets the eligibility criteria for </w:t>
      </w:r>
      <w:r w:rsidR="00097087" w:rsidRPr="001375DD">
        <w:t xml:space="preserve">the </w:t>
      </w:r>
      <w:r w:rsidRPr="001375DD">
        <w:t>TxCDBG</w:t>
      </w:r>
      <w:r w:rsidR="00C33A48" w:rsidRPr="001375DD">
        <w:t xml:space="preserve"> </w:t>
      </w:r>
      <w:r w:rsidR="00BE1010">
        <w:t>S</w:t>
      </w:r>
      <w:r w:rsidR="00763B0D" w:rsidRPr="001375DD">
        <w:t xml:space="preserve">tate </w:t>
      </w:r>
      <w:r w:rsidR="00BE1010">
        <w:t>U</w:t>
      </w:r>
      <w:r w:rsidR="00763B0D" w:rsidRPr="001375DD">
        <w:t xml:space="preserve">rgent </w:t>
      </w:r>
      <w:r w:rsidR="00BE1010">
        <w:t>N</w:t>
      </w:r>
      <w:r w:rsidR="00763B0D" w:rsidRPr="001375DD">
        <w:t>eed</w:t>
      </w:r>
      <w:r w:rsidRPr="001375DD">
        <w:t xml:space="preserve"> </w:t>
      </w:r>
      <w:r w:rsidR="00770C6B">
        <w:t>F</w:t>
      </w:r>
      <w:r w:rsidRPr="001375DD">
        <w:t>und.</w:t>
      </w:r>
    </w:p>
    <w:p w14:paraId="6F2E4A9C" w14:textId="549F9782" w:rsidR="005060C3" w:rsidRDefault="005060C3">
      <w:pPr>
        <w:rPr>
          <w:rFonts w:ascii="Arial" w:hAnsi="Arial" w:cs="Arial"/>
          <w:color w:val="000000"/>
          <w:sz w:val="22"/>
          <w:szCs w:val="22"/>
        </w:rPr>
      </w:pPr>
      <w:r>
        <w:br w:type="page"/>
      </w:r>
    </w:p>
    <w:p w14:paraId="2B04D374" w14:textId="5582599B" w:rsidR="00064649" w:rsidRPr="00235002" w:rsidRDefault="00064649" w:rsidP="00A450A6">
      <w:pPr>
        <w:pStyle w:val="4ArialBold14"/>
        <w:rPr>
          <w:rFonts w:cs="Arial"/>
          <w:snapToGrid w:val="0"/>
          <w:sz w:val="22"/>
          <w:szCs w:val="22"/>
        </w:rPr>
      </w:pPr>
      <w:bookmarkStart w:id="27" w:name="_Toc97737600"/>
      <w:bookmarkStart w:id="28" w:name="_Hlk46731888"/>
      <w:r w:rsidRPr="00235002">
        <w:lastRenderedPageBreak/>
        <w:t>1.1.5 Public Participation</w:t>
      </w:r>
      <w:bookmarkEnd w:id="27"/>
    </w:p>
    <w:p w14:paraId="3FF426D7" w14:textId="1482CDD1" w:rsidR="00064649" w:rsidRPr="00235002" w:rsidRDefault="00064649" w:rsidP="00064649">
      <w:pPr>
        <w:rPr>
          <w:rFonts w:ascii="Arial" w:hAnsi="Arial" w:cs="Arial"/>
          <w:snapToGrid w:val="0"/>
          <w:color w:val="000000" w:themeColor="text1"/>
          <w:sz w:val="22"/>
          <w:szCs w:val="22"/>
        </w:rPr>
      </w:pPr>
    </w:p>
    <w:p w14:paraId="5139E8DB" w14:textId="4B5E806F" w:rsidR="00A83D80" w:rsidRPr="00A83D80" w:rsidRDefault="00A83D80" w:rsidP="00A83D80">
      <w:pPr>
        <w:pStyle w:val="1BODY-Arial11"/>
        <w:rPr>
          <w:snapToGrid w:val="0"/>
        </w:rPr>
      </w:pPr>
      <w:r w:rsidRPr="00A83D80">
        <w:rPr>
          <w:snapToGrid w:val="0"/>
        </w:rPr>
        <w:t xml:space="preserve">TxCDBG applicants and funded </w:t>
      </w:r>
      <w:r w:rsidR="001363E2">
        <w:rPr>
          <w:snapToGrid w:val="0"/>
        </w:rPr>
        <w:t>Grant Recipient</w:t>
      </w:r>
      <w:r w:rsidR="002575D1">
        <w:rPr>
          <w:snapToGrid w:val="0"/>
        </w:rPr>
        <w:t>s</w:t>
      </w:r>
      <w:r w:rsidR="001363E2" w:rsidRPr="00A83D80">
        <w:rPr>
          <w:snapToGrid w:val="0"/>
        </w:rPr>
        <w:t xml:space="preserve"> </w:t>
      </w:r>
      <w:r w:rsidRPr="00A83D80">
        <w:rPr>
          <w:snapToGrid w:val="0"/>
        </w:rPr>
        <w:t xml:space="preserve">are required to carry out </w:t>
      </w:r>
      <w:r w:rsidR="00452EE0">
        <w:rPr>
          <w:snapToGrid w:val="0"/>
        </w:rPr>
        <w:t>public</w:t>
      </w:r>
      <w:r w:rsidRPr="00A83D80">
        <w:rPr>
          <w:snapToGrid w:val="0"/>
        </w:rPr>
        <w:t xml:space="preserve"> participation in accordance with the Citizen Participation Plan adopted for the TxCDBG Program. </w:t>
      </w:r>
      <w:r w:rsidR="001363E2">
        <w:rPr>
          <w:snapToGrid w:val="0"/>
        </w:rPr>
        <w:t>In this section, the term</w:t>
      </w:r>
      <w:r w:rsidR="002575D1">
        <w:rPr>
          <w:snapToGrid w:val="0"/>
        </w:rPr>
        <w:t>,</w:t>
      </w:r>
      <w:r w:rsidR="001363E2">
        <w:rPr>
          <w:snapToGrid w:val="0"/>
        </w:rPr>
        <w:t xml:space="preserve"> </w:t>
      </w:r>
      <w:r w:rsidR="002575D1">
        <w:rPr>
          <w:snapToGrid w:val="0"/>
        </w:rPr>
        <w:t>“</w:t>
      </w:r>
      <w:r w:rsidR="001363E2">
        <w:rPr>
          <w:snapToGrid w:val="0"/>
        </w:rPr>
        <w:t>Grant Recipient</w:t>
      </w:r>
      <w:r w:rsidR="002575D1">
        <w:rPr>
          <w:snapToGrid w:val="0"/>
        </w:rPr>
        <w:t>”</w:t>
      </w:r>
      <w:r w:rsidR="001363E2" w:rsidRPr="00A83D80">
        <w:rPr>
          <w:snapToGrid w:val="0"/>
        </w:rPr>
        <w:t xml:space="preserve"> </w:t>
      </w:r>
      <w:r w:rsidR="001363E2">
        <w:rPr>
          <w:snapToGrid w:val="0"/>
        </w:rPr>
        <w:t xml:space="preserve">includes applicants for TxCDBG funding.  </w:t>
      </w:r>
      <w:r w:rsidRPr="00A83D80">
        <w:rPr>
          <w:snapToGrid w:val="0"/>
        </w:rPr>
        <w:t xml:space="preserve">Each </w:t>
      </w:r>
      <w:r w:rsidR="001363E2">
        <w:rPr>
          <w:snapToGrid w:val="0"/>
        </w:rPr>
        <w:t>Grant Recipient</w:t>
      </w:r>
      <w:r w:rsidR="001363E2" w:rsidRPr="00A83D80">
        <w:rPr>
          <w:snapToGrid w:val="0"/>
        </w:rPr>
        <w:t xml:space="preserve"> </w:t>
      </w:r>
      <w:r w:rsidRPr="00A83D80">
        <w:rPr>
          <w:snapToGrid w:val="0"/>
        </w:rPr>
        <w:t>certifies by signing a 424 Form that it has and will comply with the requirements of this Citizen Participation Plan.</w:t>
      </w:r>
    </w:p>
    <w:p w14:paraId="35A7084E" w14:textId="77777777" w:rsidR="00A83D80" w:rsidRPr="00A83D80" w:rsidRDefault="00A83D80" w:rsidP="00A83D80">
      <w:pPr>
        <w:pStyle w:val="1BODY-Arial11"/>
        <w:rPr>
          <w:snapToGrid w:val="0"/>
        </w:rPr>
      </w:pPr>
    </w:p>
    <w:p w14:paraId="63F65DA5" w14:textId="5FD6B324" w:rsidR="00A83D80" w:rsidRPr="00A83D80" w:rsidRDefault="00A83D80" w:rsidP="00A83D80">
      <w:pPr>
        <w:pStyle w:val="1BODY-Arial11"/>
        <w:rPr>
          <w:snapToGrid w:val="0"/>
        </w:rPr>
      </w:pPr>
      <w:r w:rsidRPr="00A83D80">
        <w:rPr>
          <w:snapToGrid w:val="0"/>
        </w:rPr>
        <w:t xml:space="preserve">Each </w:t>
      </w:r>
      <w:r w:rsidR="001363E2">
        <w:rPr>
          <w:snapToGrid w:val="0"/>
        </w:rPr>
        <w:t>Grant Recipient</w:t>
      </w:r>
      <w:r w:rsidR="001363E2" w:rsidRPr="00A83D80">
        <w:rPr>
          <w:snapToGrid w:val="0"/>
        </w:rPr>
        <w:t xml:space="preserve"> </w:t>
      </w:r>
      <w:r w:rsidRPr="00A83D80">
        <w:rPr>
          <w:snapToGrid w:val="0"/>
        </w:rPr>
        <w:t>must maintain a citizen participation file that includes the applicant's complaint procedures, any technical assistance provided by the applicant, and public notices, minutes, and attendance lists for public hearings.</w:t>
      </w:r>
    </w:p>
    <w:p w14:paraId="7D735D74" w14:textId="77777777" w:rsidR="00A83D80" w:rsidRPr="00A83D80" w:rsidRDefault="00A83D80" w:rsidP="00A83D80">
      <w:pPr>
        <w:pStyle w:val="1BODY-Arial11"/>
        <w:rPr>
          <w:snapToGrid w:val="0"/>
        </w:rPr>
      </w:pPr>
    </w:p>
    <w:p w14:paraId="4DD5152A" w14:textId="77777777" w:rsidR="00A83D80" w:rsidRPr="00A83D80" w:rsidRDefault="00A83D80" w:rsidP="00A83D80">
      <w:pPr>
        <w:pStyle w:val="1BODY-Arial11"/>
        <w:rPr>
          <w:i/>
          <w:iCs/>
          <w:snapToGrid w:val="0"/>
        </w:rPr>
      </w:pPr>
      <w:r w:rsidRPr="00A83D80">
        <w:rPr>
          <w:i/>
          <w:iCs/>
          <w:snapToGrid w:val="0"/>
        </w:rPr>
        <w:t>Complaint Procedures:</w:t>
      </w:r>
    </w:p>
    <w:p w14:paraId="0299C700" w14:textId="3C0B8644" w:rsidR="00A83D80" w:rsidRPr="00A83D80" w:rsidRDefault="00A83D80" w:rsidP="00A83D80">
      <w:pPr>
        <w:pStyle w:val="1BODY-Arial11"/>
        <w:rPr>
          <w:snapToGrid w:val="0"/>
        </w:rPr>
      </w:pPr>
      <w:r w:rsidRPr="00A83D80">
        <w:rPr>
          <w:snapToGrid w:val="0"/>
        </w:rPr>
        <w:t xml:space="preserve">The </w:t>
      </w:r>
      <w:r w:rsidR="001363E2">
        <w:rPr>
          <w:snapToGrid w:val="0"/>
        </w:rPr>
        <w:t>Grant Recipient</w:t>
      </w:r>
      <w:r w:rsidRPr="00A83D80">
        <w:rPr>
          <w:snapToGrid w:val="0"/>
        </w:rPr>
        <w:t xml:space="preserve"> must have written citizen complaint procedures that provide a timely written response to complaints and grievances. </w:t>
      </w:r>
      <w:r w:rsidR="006859B4">
        <w:rPr>
          <w:snapToGrid w:val="0"/>
        </w:rPr>
        <w:t>Residents</w:t>
      </w:r>
      <w:r w:rsidRPr="00A83D80">
        <w:rPr>
          <w:snapToGrid w:val="0"/>
        </w:rPr>
        <w:t xml:space="preserve"> must be made aware of the location, days, and hours when copies of the </w:t>
      </w:r>
      <w:r w:rsidR="002575D1">
        <w:rPr>
          <w:snapToGrid w:val="0"/>
        </w:rPr>
        <w:t xml:space="preserve">procedures </w:t>
      </w:r>
      <w:r w:rsidRPr="00A83D80">
        <w:rPr>
          <w:snapToGrid w:val="0"/>
        </w:rPr>
        <w:t>are available.</w:t>
      </w:r>
    </w:p>
    <w:p w14:paraId="6073FD33" w14:textId="77777777" w:rsidR="00A83D80" w:rsidRPr="00A83D80" w:rsidRDefault="00A83D80" w:rsidP="00A83D80">
      <w:pPr>
        <w:pStyle w:val="1BODY-Arial11"/>
        <w:rPr>
          <w:snapToGrid w:val="0"/>
        </w:rPr>
      </w:pPr>
    </w:p>
    <w:p w14:paraId="5CC58231" w14:textId="77777777" w:rsidR="00A83D80" w:rsidRPr="00A83D80" w:rsidRDefault="00A83D80" w:rsidP="00A83D80">
      <w:pPr>
        <w:pStyle w:val="1BODY-Arial11"/>
        <w:rPr>
          <w:i/>
          <w:iCs/>
          <w:snapToGrid w:val="0"/>
        </w:rPr>
      </w:pPr>
      <w:r w:rsidRPr="00A83D80">
        <w:rPr>
          <w:i/>
          <w:iCs/>
          <w:snapToGrid w:val="0"/>
        </w:rPr>
        <w:t>Technical Assistance:</w:t>
      </w:r>
    </w:p>
    <w:p w14:paraId="20207B87" w14:textId="35FE758D" w:rsidR="00A83D80" w:rsidRPr="00A83D80" w:rsidRDefault="00A83D80" w:rsidP="00A83D80">
      <w:pPr>
        <w:pStyle w:val="1BODY-Arial11"/>
        <w:rPr>
          <w:snapToGrid w:val="0"/>
        </w:rPr>
      </w:pPr>
      <w:r w:rsidRPr="00A83D80">
        <w:rPr>
          <w:snapToGrid w:val="0"/>
        </w:rPr>
        <w:t xml:space="preserve">When requested, the </w:t>
      </w:r>
      <w:r w:rsidR="001363E2">
        <w:rPr>
          <w:snapToGrid w:val="0"/>
        </w:rPr>
        <w:t>Grant Recipient</w:t>
      </w:r>
      <w:r w:rsidRPr="00A83D80">
        <w:rPr>
          <w:snapToGrid w:val="0"/>
        </w:rPr>
        <w:t xml:space="preserve"> shall provide technical assistance to groups representative of persons of low-to-moderate income in developing proposals for the use of TxCDBG funds. The level and type of assistance shall be determined by the </w:t>
      </w:r>
      <w:r w:rsidR="006859B4">
        <w:rPr>
          <w:snapToGrid w:val="0"/>
        </w:rPr>
        <w:t>Grant Recipient</w:t>
      </w:r>
      <w:r w:rsidR="006859B4" w:rsidRPr="00A83D80">
        <w:rPr>
          <w:snapToGrid w:val="0"/>
        </w:rPr>
        <w:t xml:space="preserve"> </w:t>
      </w:r>
      <w:r w:rsidRPr="00A83D80">
        <w:rPr>
          <w:snapToGrid w:val="0"/>
        </w:rPr>
        <w:t>based upon the specific needs of the community's residents.</w:t>
      </w:r>
    </w:p>
    <w:p w14:paraId="192FA8D6" w14:textId="77777777" w:rsidR="00A83D80" w:rsidRPr="00A83D80" w:rsidRDefault="00A83D80" w:rsidP="00A83D80">
      <w:pPr>
        <w:pStyle w:val="1BODY-Arial11"/>
        <w:rPr>
          <w:snapToGrid w:val="0"/>
        </w:rPr>
      </w:pPr>
    </w:p>
    <w:p w14:paraId="546CD576" w14:textId="77777777" w:rsidR="00A83D80" w:rsidRPr="00A83D80" w:rsidRDefault="00A83D80" w:rsidP="00A83D80">
      <w:pPr>
        <w:pStyle w:val="1BODY-Arial11"/>
        <w:rPr>
          <w:i/>
          <w:iCs/>
          <w:snapToGrid w:val="0"/>
        </w:rPr>
      </w:pPr>
      <w:r w:rsidRPr="00A83D80">
        <w:rPr>
          <w:i/>
          <w:iCs/>
          <w:snapToGrid w:val="0"/>
        </w:rPr>
        <w:t>Public Hearing Provisions:</w:t>
      </w:r>
    </w:p>
    <w:p w14:paraId="5C2CABE0" w14:textId="77777777" w:rsidR="00F97D4C" w:rsidRPr="00235002" w:rsidRDefault="00064649" w:rsidP="001375DD">
      <w:pPr>
        <w:pStyle w:val="1BODY-Arial11"/>
        <w:rPr>
          <w:snapToGrid w:val="0"/>
        </w:rPr>
      </w:pPr>
      <w:r w:rsidRPr="00235002">
        <w:rPr>
          <w:snapToGrid w:val="0"/>
        </w:rPr>
        <w:t xml:space="preserve">A key component of the program is the opportunity for </w:t>
      </w:r>
      <w:proofErr w:type="gramStart"/>
      <w:r w:rsidRPr="00235002">
        <w:rPr>
          <w:snapToGrid w:val="0"/>
        </w:rPr>
        <w:t>local residents</w:t>
      </w:r>
      <w:proofErr w:type="gramEnd"/>
      <w:r w:rsidRPr="00235002">
        <w:rPr>
          <w:snapToGrid w:val="0"/>
        </w:rPr>
        <w:t xml:space="preserve"> to express needs and concerns regarding TxCDBG-funded projects to the Grant Recipient.  </w:t>
      </w:r>
    </w:p>
    <w:p w14:paraId="5C43FD50" w14:textId="41EC8999" w:rsidR="00B57F9F" w:rsidRDefault="00B57F9F" w:rsidP="00B57F9F">
      <w:pPr>
        <w:pStyle w:val="1BODY-Arial11"/>
        <w:numPr>
          <w:ilvl w:val="0"/>
          <w:numId w:val="24"/>
        </w:numPr>
        <w:rPr>
          <w:snapToGrid w:val="0"/>
        </w:rPr>
      </w:pPr>
      <w:r>
        <w:rPr>
          <w:snapToGrid w:val="0"/>
        </w:rPr>
        <w:t xml:space="preserve">The </w:t>
      </w:r>
      <w:r w:rsidR="001363E2">
        <w:rPr>
          <w:snapToGrid w:val="0"/>
        </w:rPr>
        <w:t>Grant Recipient</w:t>
      </w:r>
      <w:r w:rsidR="001363E2" w:rsidRPr="00A83D80">
        <w:rPr>
          <w:snapToGrid w:val="0"/>
        </w:rPr>
        <w:t xml:space="preserve"> </w:t>
      </w:r>
      <w:r>
        <w:rPr>
          <w:snapToGrid w:val="0"/>
        </w:rPr>
        <w:t xml:space="preserve">must </w:t>
      </w:r>
      <w:r w:rsidRPr="00B57F9F">
        <w:rPr>
          <w:snapToGrid w:val="0"/>
        </w:rPr>
        <w:t>hold a public hearing</w:t>
      </w:r>
      <w:r>
        <w:rPr>
          <w:snapToGrid w:val="0"/>
        </w:rPr>
        <w:t xml:space="preserve"> prior to authorizing submittal of the grant application.</w:t>
      </w:r>
    </w:p>
    <w:p w14:paraId="0D96B220" w14:textId="396B10FB" w:rsidR="00B57F9F" w:rsidRDefault="00B57F9F" w:rsidP="00B57F9F">
      <w:pPr>
        <w:pStyle w:val="1BODY-Arial11"/>
        <w:numPr>
          <w:ilvl w:val="0"/>
          <w:numId w:val="24"/>
        </w:numPr>
        <w:rPr>
          <w:snapToGrid w:val="0"/>
        </w:rPr>
      </w:pPr>
      <w:r>
        <w:rPr>
          <w:snapToGrid w:val="0"/>
        </w:rPr>
        <w:t>If the project is funded, t</w:t>
      </w:r>
      <w:r w:rsidRPr="00B57F9F">
        <w:rPr>
          <w:snapToGrid w:val="0"/>
        </w:rPr>
        <w:t xml:space="preserve">he </w:t>
      </w:r>
      <w:r>
        <w:rPr>
          <w:snapToGrid w:val="0"/>
        </w:rPr>
        <w:t>Grant Recipient</w:t>
      </w:r>
      <w:r w:rsidRPr="00B57F9F">
        <w:rPr>
          <w:snapToGrid w:val="0"/>
        </w:rPr>
        <w:t xml:space="preserve"> must hold a public hearing concerning any proposed substantial change, as determined by TDA, in the use of TxCDBG funds.</w:t>
      </w:r>
    </w:p>
    <w:p w14:paraId="7BCF478B" w14:textId="014F302A" w:rsidR="00B57F9F" w:rsidRPr="001363E2" w:rsidRDefault="00B57F9F" w:rsidP="001363E2">
      <w:pPr>
        <w:pStyle w:val="1BODY-Arial11"/>
        <w:numPr>
          <w:ilvl w:val="0"/>
          <w:numId w:val="24"/>
        </w:numPr>
        <w:rPr>
          <w:snapToGrid w:val="0"/>
        </w:rPr>
      </w:pPr>
      <w:r w:rsidRPr="00B57F9F">
        <w:rPr>
          <w:snapToGrid w:val="0"/>
        </w:rPr>
        <w:t xml:space="preserve">Upon completion of the activities, the </w:t>
      </w:r>
      <w:r>
        <w:rPr>
          <w:snapToGrid w:val="0"/>
        </w:rPr>
        <w:t>Grant Recipient</w:t>
      </w:r>
      <w:r w:rsidRPr="00B57F9F">
        <w:rPr>
          <w:snapToGrid w:val="0"/>
        </w:rPr>
        <w:t xml:space="preserve"> </w:t>
      </w:r>
      <w:r>
        <w:rPr>
          <w:snapToGrid w:val="0"/>
        </w:rPr>
        <w:t>must</w:t>
      </w:r>
      <w:r w:rsidRPr="00B57F9F">
        <w:rPr>
          <w:snapToGrid w:val="0"/>
        </w:rPr>
        <w:t xml:space="preserve"> hold a public hearing and review its program performance, including the actual use of TxCDBG funds.</w:t>
      </w:r>
    </w:p>
    <w:p w14:paraId="25D7361C" w14:textId="77777777" w:rsidR="00B57F9F" w:rsidRPr="00235002" w:rsidRDefault="00B57F9F" w:rsidP="00064649">
      <w:pPr>
        <w:rPr>
          <w:rFonts w:ascii="Arial" w:hAnsi="Arial" w:cs="Arial"/>
          <w:snapToGrid w:val="0"/>
          <w:color w:val="000000" w:themeColor="text1"/>
          <w:sz w:val="22"/>
          <w:szCs w:val="22"/>
        </w:rPr>
      </w:pPr>
    </w:p>
    <w:p w14:paraId="31B44FE3" w14:textId="700C5765" w:rsidR="00F97D4C" w:rsidRPr="00235002" w:rsidRDefault="00F97D4C" w:rsidP="001375DD">
      <w:pPr>
        <w:pStyle w:val="1BODY-Arial11"/>
      </w:pPr>
      <w:r w:rsidRPr="00235002">
        <w:rPr>
          <w:snapToGrid w:val="0"/>
        </w:rPr>
        <w:t xml:space="preserve">Public </w:t>
      </w:r>
      <w:r w:rsidR="001375DD">
        <w:rPr>
          <w:snapToGrid w:val="0"/>
        </w:rPr>
        <w:t>h</w:t>
      </w:r>
      <w:r w:rsidRPr="00235002">
        <w:rPr>
          <w:snapToGrid w:val="0"/>
        </w:rPr>
        <w:t>earings, as required</w:t>
      </w:r>
      <w:r w:rsidR="00B57F9F">
        <w:rPr>
          <w:snapToGrid w:val="0"/>
        </w:rPr>
        <w:t xml:space="preserve"> by the Request for Application Guides and</w:t>
      </w:r>
      <w:r w:rsidRPr="00235002">
        <w:rPr>
          <w:snapToGrid w:val="0"/>
        </w:rPr>
        <w:t xml:space="preserve"> </w:t>
      </w:r>
      <w:r w:rsidRPr="004F435B">
        <w:rPr>
          <w:i/>
          <w:iCs/>
          <w:snapToGrid w:val="0"/>
        </w:rPr>
        <w:t>Chapter</w:t>
      </w:r>
      <w:r w:rsidR="00286C1C" w:rsidRPr="004F435B">
        <w:rPr>
          <w:i/>
          <w:iCs/>
          <w:snapToGrid w:val="0"/>
        </w:rPr>
        <w:t>s</w:t>
      </w:r>
      <w:r w:rsidRPr="004F435B">
        <w:rPr>
          <w:i/>
          <w:iCs/>
          <w:snapToGrid w:val="0"/>
        </w:rPr>
        <w:t xml:space="preserve"> 11 and 12 </w:t>
      </w:r>
      <w:r w:rsidRPr="004F435B">
        <w:rPr>
          <w:snapToGrid w:val="0"/>
        </w:rPr>
        <w:t>and</w:t>
      </w:r>
      <w:r w:rsidRPr="004F435B">
        <w:rPr>
          <w:i/>
          <w:iCs/>
          <w:snapToGrid w:val="0"/>
        </w:rPr>
        <w:t xml:space="preserve"> Section B</w:t>
      </w:r>
      <w:r w:rsidR="00B57F9F">
        <w:rPr>
          <w:i/>
          <w:iCs/>
          <w:snapToGrid w:val="0"/>
        </w:rPr>
        <w:t xml:space="preserve"> </w:t>
      </w:r>
      <w:r w:rsidR="00B57F9F">
        <w:rPr>
          <w:snapToGrid w:val="0"/>
        </w:rPr>
        <w:t>of this manual</w:t>
      </w:r>
      <w:r w:rsidRPr="00235002">
        <w:rPr>
          <w:snapToGrid w:val="0"/>
        </w:rPr>
        <w:t>, must comply with the following:</w:t>
      </w:r>
      <w:r w:rsidRPr="00235002">
        <w:t xml:space="preserve"> </w:t>
      </w:r>
    </w:p>
    <w:p w14:paraId="6D6992E0" w14:textId="7DA2C6C8" w:rsidR="00F97D4C" w:rsidRPr="001375DD" w:rsidRDefault="00F97D4C" w:rsidP="00BB18DA">
      <w:pPr>
        <w:pStyle w:val="3BULLETarial11"/>
      </w:pPr>
      <w:r w:rsidRPr="001375DD">
        <w:t xml:space="preserve">Hearing must be held </w:t>
      </w:r>
      <w:r w:rsidR="00286C1C" w:rsidRPr="001375DD">
        <w:t xml:space="preserve">in </w:t>
      </w:r>
      <w:r w:rsidRPr="001375DD">
        <w:t xml:space="preserve">a location convenient to the </w:t>
      </w:r>
      <w:r w:rsidR="00286C1C" w:rsidRPr="001375DD">
        <w:t>project</w:t>
      </w:r>
      <w:r w:rsidRPr="001375DD">
        <w:t xml:space="preserve"> beneficiaries. </w:t>
      </w:r>
    </w:p>
    <w:p w14:paraId="06348C4C" w14:textId="72909BE1" w:rsidR="00F97D4C" w:rsidRPr="001375DD" w:rsidRDefault="00F97D4C" w:rsidP="00BB18DA">
      <w:pPr>
        <w:pStyle w:val="3BULLETarial11"/>
      </w:pPr>
      <w:r w:rsidRPr="001375DD">
        <w:t xml:space="preserve">Hearing must be held </w:t>
      </w:r>
      <w:r w:rsidR="000C6387">
        <w:t>at,</w:t>
      </w:r>
      <w:r w:rsidRPr="001375DD">
        <w:t xml:space="preserve"> or after</w:t>
      </w:r>
      <w:r w:rsidR="000C6387">
        <w:t>,</w:t>
      </w:r>
      <w:r w:rsidRPr="001375DD">
        <w:t xml:space="preserve"> 5 p.m. on a weekday or on a Saturday or Sunday</w:t>
      </w:r>
      <w:r w:rsidR="001375DD">
        <w:t>.</w:t>
      </w:r>
    </w:p>
    <w:p w14:paraId="28F6E8E6" w14:textId="366497BE" w:rsidR="00F97D4C" w:rsidRPr="001375DD" w:rsidRDefault="00F97D4C" w:rsidP="00BB18DA">
      <w:pPr>
        <w:pStyle w:val="3BULLETarial11"/>
      </w:pPr>
      <w:r w:rsidRPr="001375DD">
        <w:t>Grant Recipient must provide accommodation</w:t>
      </w:r>
      <w:r w:rsidR="006B6537">
        <w:t>s</w:t>
      </w:r>
      <w:r w:rsidRPr="001375DD">
        <w:t xml:space="preserve"> for citizens with disabilities</w:t>
      </w:r>
      <w:r w:rsidR="001375DD">
        <w:t>.</w:t>
      </w:r>
    </w:p>
    <w:p w14:paraId="23517641" w14:textId="3BE115C0" w:rsidR="00F97D4C" w:rsidRPr="001375DD" w:rsidRDefault="00F97D4C" w:rsidP="00BB18DA">
      <w:pPr>
        <w:pStyle w:val="3BULLETarial11"/>
      </w:pPr>
      <w:r w:rsidRPr="001375DD">
        <w:t>Hearings should be conducted in a manner to meet the needs of non-English speaking residents where a significant number of non-English speaking residents can be reasonably expected to participate.</w:t>
      </w:r>
      <w:r w:rsidR="000C6387">
        <w:t xml:space="preserve"> </w:t>
      </w:r>
      <w:r w:rsidRPr="001375DD">
        <w:t xml:space="preserve">The Grant Recipient must adhere to its Limited English Proficiency </w:t>
      </w:r>
      <w:r w:rsidR="006B6537">
        <w:t xml:space="preserve">(LEP) </w:t>
      </w:r>
      <w:r w:rsidRPr="001375DD">
        <w:t>Plan</w:t>
      </w:r>
      <w:r w:rsidR="001375DD">
        <w:t>. S</w:t>
      </w:r>
      <w:r w:rsidRPr="001375DD">
        <w:t xml:space="preserve">ee </w:t>
      </w:r>
      <w:r w:rsidRPr="004C4B5F">
        <w:rPr>
          <w:i/>
          <w:iCs/>
        </w:rPr>
        <w:t>Chapter 10.</w:t>
      </w:r>
      <w:r w:rsidRPr="001375DD">
        <w:t xml:space="preserve"> </w:t>
      </w:r>
    </w:p>
    <w:p w14:paraId="07326605" w14:textId="63625B51" w:rsidR="00F97D4C" w:rsidRPr="001375DD" w:rsidRDefault="00F97D4C" w:rsidP="00BB18DA">
      <w:pPr>
        <w:pStyle w:val="3BULLETarial11"/>
      </w:pPr>
      <w:r w:rsidRPr="001375DD">
        <w:t xml:space="preserve">Grant Recipient must provide notice of the </w:t>
      </w:r>
      <w:r w:rsidR="000C6387">
        <w:t>h</w:t>
      </w:r>
      <w:r w:rsidRPr="001375DD">
        <w:t>earing to citizens at least seventy-two</w:t>
      </w:r>
      <w:r w:rsidR="001375DD">
        <w:t xml:space="preserve"> </w:t>
      </w:r>
      <w:r w:rsidRPr="001375DD">
        <w:t>hours (</w:t>
      </w:r>
      <w:r w:rsidR="001375DD">
        <w:t>three</w:t>
      </w:r>
      <w:r w:rsidRPr="001375DD">
        <w:t xml:space="preserve"> days) prior to the scheduled hearing</w:t>
      </w:r>
      <w:r w:rsidR="000C6387">
        <w:t>—</w:t>
      </w:r>
      <w:r w:rsidRPr="001375DD">
        <w:t>including the date, time, location of the hearing</w:t>
      </w:r>
      <w:r w:rsidR="000C6387">
        <w:t>,</w:t>
      </w:r>
      <w:r w:rsidRPr="001375DD">
        <w:t xml:space="preserve"> and the topics to be considered.</w:t>
      </w:r>
    </w:p>
    <w:p w14:paraId="7BCA65A1" w14:textId="155988E1" w:rsidR="00F97D4C" w:rsidRPr="001375DD" w:rsidRDefault="00286C1C" w:rsidP="00BB18DA">
      <w:pPr>
        <w:pStyle w:val="3BULLETarial11"/>
      </w:pPr>
      <w:r w:rsidRPr="001375DD">
        <w:t>Records related to the</w:t>
      </w:r>
      <w:r w:rsidR="00F97D4C" w:rsidRPr="001375DD">
        <w:t xml:space="preserve"> </w:t>
      </w:r>
      <w:r w:rsidR="001375DD">
        <w:t>h</w:t>
      </w:r>
      <w:r w:rsidR="00F97D4C" w:rsidRPr="001375DD">
        <w:t xml:space="preserve">earing </w:t>
      </w:r>
      <w:r w:rsidRPr="001375DD">
        <w:t>must be made</w:t>
      </w:r>
      <w:r w:rsidR="00F97D4C" w:rsidRPr="001375DD">
        <w:t xml:space="preserve"> available to the public as required by Texas Government Code, Chapter 552. Required documentation includes the public hearing notice, sign</w:t>
      </w:r>
      <w:r w:rsidR="001375DD">
        <w:t>-</w:t>
      </w:r>
      <w:r w:rsidR="00F97D4C" w:rsidRPr="001375DD">
        <w:t>in sheet</w:t>
      </w:r>
      <w:r w:rsidR="001375DD">
        <w:t xml:space="preserve"> </w:t>
      </w:r>
      <w:r w:rsidR="00F97D4C" w:rsidRPr="001375DD">
        <w:t>with a list of attendees</w:t>
      </w:r>
      <w:r w:rsidR="001375DD">
        <w:t>,</w:t>
      </w:r>
      <w:r w:rsidR="00F97D4C" w:rsidRPr="001375DD">
        <w:t xml:space="preserve"> the minutes of the hearing, and a summary of public comment(s).</w:t>
      </w:r>
    </w:p>
    <w:p w14:paraId="3F04AED7" w14:textId="77777777" w:rsidR="00F97D4C" w:rsidRPr="00235002" w:rsidRDefault="00F97D4C" w:rsidP="001375DD">
      <w:pPr>
        <w:pStyle w:val="1BODY-Arial11"/>
        <w:rPr>
          <w:snapToGrid w:val="0"/>
        </w:rPr>
      </w:pPr>
    </w:p>
    <w:p w14:paraId="59CB0600" w14:textId="7C081A86" w:rsidR="001363E2" w:rsidRPr="00A83D80" w:rsidRDefault="001363E2" w:rsidP="001363E2">
      <w:pPr>
        <w:pStyle w:val="1BODY-Arial11"/>
        <w:rPr>
          <w:i/>
          <w:iCs/>
          <w:snapToGrid w:val="0"/>
        </w:rPr>
      </w:pPr>
      <w:r w:rsidRPr="00A83D80">
        <w:rPr>
          <w:i/>
          <w:iCs/>
          <w:snapToGrid w:val="0"/>
        </w:rPr>
        <w:t xml:space="preserve">Public </w:t>
      </w:r>
      <w:r>
        <w:rPr>
          <w:i/>
          <w:iCs/>
          <w:snapToGrid w:val="0"/>
        </w:rPr>
        <w:t>Notice</w:t>
      </w:r>
      <w:r w:rsidRPr="00A83D80">
        <w:rPr>
          <w:i/>
          <w:iCs/>
          <w:snapToGrid w:val="0"/>
        </w:rPr>
        <w:t xml:space="preserve"> Provisions:</w:t>
      </w:r>
    </w:p>
    <w:p w14:paraId="091F1F21" w14:textId="2686212C" w:rsidR="00410D1F" w:rsidRPr="004C4B5F" w:rsidRDefault="00064649" w:rsidP="001375DD">
      <w:pPr>
        <w:pStyle w:val="1BODY-Arial11"/>
        <w:rPr>
          <w:i/>
          <w:iCs/>
          <w:snapToGrid w:val="0"/>
        </w:rPr>
      </w:pPr>
      <w:r w:rsidRPr="00235002">
        <w:rPr>
          <w:snapToGrid w:val="0"/>
        </w:rPr>
        <w:t xml:space="preserve">Public </w:t>
      </w:r>
      <w:r w:rsidR="00FB2FE6">
        <w:rPr>
          <w:snapToGrid w:val="0"/>
        </w:rPr>
        <w:t>N</w:t>
      </w:r>
      <w:r w:rsidRPr="00235002">
        <w:rPr>
          <w:snapToGrid w:val="0"/>
        </w:rPr>
        <w:t xml:space="preserve">otices are required at several stages of the grant, as described in </w:t>
      </w:r>
      <w:r w:rsidR="001363E2">
        <w:rPr>
          <w:snapToGrid w:val="0"/>
        </w:rPr>
        <w:t xml:space="preserve">Request for Application Guides and </w:t>
      </w:r>
      <w:r w:rsidRPr="004C4B5F">
        <w:rPr>
          <w:i/>
          <w:iCs/>
          <w:snapToGrid w:val="0"/>
        </w:rPr>
        <w:t xml:space="preserve">Chapters 3, 10, 11, </w:t>
      </w:r>
      <w:r w:rsidRPr="004C4B5F">
        <w:rPr>
          <w:snapToGrid w:val="0"/>
        </w:rPr>
        <w:t>and</w:t>
      </w:r>
      <w:r w:rsidRPr="004C4B5F">
        <w:rPr>
          <w:i/>
          <w:iCs/>
          <w:snapToGrid w:val="0"/>
        </w:rPr>
        <w:t xml:space="preserve"> 12</w:t>
      </w:r>
      <w:r w:rsidR="00F97D4C" w:rsidRPr="004C4B5F">
        <w:rPr>
          <w:i/>
          <w:iCs/>
          <w:snapToGrid w:val="0"/>
        </w:rPr>
        <w:t xml:space="preserve">, </w:t>
      </w:r>
      <w:r w:rsidR="00F97D4C" w:rsidRPr="004C4B5F">
        <w:rPr>
          <w:snapToGrid w:val="0"/>
        </w:rPr>
        <w:t>and</w:t>
      </w:r>
      <w:r w:rsidR="00F97D4C" w:rsidRPr="004C4B5F">
        <w:rPr>
          <w:i/>
          <w:iCs/>
          <w:snapToGrid w:val="0"/>
        </w:rPr>
        <w:t xml:space="preserve"> Section B</w:t>
      </w:r>
      <w:r w:rsidR="001363E2">
        <w:rPr>
          <w:i/>
          <w:iCs/>
          <w:snapToGrid w:val="0"/>
        </w:rPr>
        <w:t xml:space="preserve"> of this manual</w:t>
      </w:r>
      <w:r w:rsidRPr="004C4B5F">
        <w:rPr>
          <w:i/>
          <w:iCs/>
          <w:snapToGrid w:val="0"/>
        </w:rPr>
        <w:t xml:space="preserve">.  </w:t>
      </w:r>
    </w:p>
    <w:p w14:paraId="3F5E3A92" w14:textId="28581979" w:rsidR="00064649" w:rsidRPr="00235002" w:rsidRDefault="00410D1F" w:rsidP="00BB18DA">
      <w:pPr>
        <w:pStyle w:val="3BULLETarial11"/>
        <w:rPr>
          <w:snapToGrid w:val="0"/>
        </w:rPr>
      </w:pPr>
      <w:r w:rsidRPr="00235002">
        <w:rPr>
          <w:snapToGrid w:val="0"/>
        </w:rPr>
        <w:t xml:space="preserve">Public </w:t>
      </w:r>
      <w:r w:rsidR="00064649" w:rsidRPr="00235002">
        <w:rPr>
          <w:snapToGrid w:val="0"/>
        </w:rPr>
        <w:t xml:space="preserve">Notice may be given </w:t>
      </w:r>
      <w:r w:rsidR="00286C1C" w:rsidRPr="00235002">
        <w:rPr>
          <w:snapToGrid w:val="0"/>
        </w:rPr>
        <w:t xml:space="preserve">in </w:t>
      </w:r>
      <w:r w:rsidR="00064649" w:rsidRPr="00235002">
        <w:rPr>
          <w:snapToGrid w:val="0"/>
        </w:rPr>
        <w:t>one of three ways:</w:t>
      </w:r>
    </w:p>
    <w:p w14:paraId="1CF9C636" w14:textId="77777777" w:rsidR="00064649" w:rsidRPr="00235002" w:rsidRDefault="00064649" w:rsidP="00BB18DA">
      <w:pPr>
        <w:pStyle w:val="3BULLETarial11"/>
        <w:numPr>
          <w:ilvl w:val="0"/>
          <w:numId w:val="25"/>
        </w:numPr>
        <w:rPr>
          <w:snapToGrid w:val="0"/>
        </w:rPr>
      </w:pPr>
      <w:r w:rsidRPr="00235002">
        <w:rPr>
          <w:snapToGrid w:val="0"/>
        </w:rPr>
        <w:t xml:space="preserve">Publish the notice in a newspaper of general </w:t>
      </w:r>
      <w:proofErr w:type="gramStart"/>
      <w:r w:rsidRPr="00235002">
        <w:rPr>
          <w:snapToGrid w:val="0"/>
        </w:rPr>
        <w:t>circulation;</w:t>
      </w:r>
      <w:proofErr w:type="gramEnd"/>
    </w:p>
    <w:p w14:paraId="3535D0EC" w14:textId="417FBC99" w:rsidR="00064649" w:rsidRPr="00235002" w:rsidRDefault="00064649" w:rsidP="00BB18DA">
      <w:pPr>
        <w:pStyle w:val="3BULLETarial11"/>
        <w:numPr>
          <w:ilvl w:val="0"/>
          <w:numId w:val="25"/>
        </w:numPr>
        <w:rPr>
          <w:snapToGrid w:val="0"/>
        </w:rPr>
      </w:pPr>
      <w:r w:rsidRPr="00235002">
        <w:rPr>
          <w:snapToGrid w:val="0"/>
        </w:rPr>
        <w:t xml:space="preserve">Post the notice in at least two public places accessible to the </w:t>
      </w:r>
      <w:proofErr w:type="gramStart"/>
      <w:r w:rsidRPr="00235002">
        <w:rPr>
          <w:snapToGrid w:val="0"/>
        </w:rPr>
        <w:t>general public</w:t>
      </w:r>
      <w:proofErr w:type="gramEnd"/>
      <w:r w:rsidRPr="00235002">
        <w:rPr>
          <w:snapToGrid w:val="0"/>
        </w:rPr>
        <w:t xml:space="preserve"> at the time of the posting includ</w:t>
      </w:r>
      <w:r w:rsidR="006B6537">
        <w:rPr>
          <w:snapToGrid w:val="0"/>
        </w:rPr>
        <w:t>ing</w:t>
      </w:r>
      <w:r w:rsidRPr="00235002">
        <w:rPr>
          <w:snapToGrid w:val="0"/>
        </w:rPr>
        <w:t xml:space="preserve"> the courthouse/city hall and </w:t>
      </w:r>
      <w:r w:rsidR="00410D1F" w:rsidRPr="00235002">
        <w:rPr>
          <w:snapToGrid w:val="0"/>
        </w:rPr>
        <w:t>a</w:t>
      </w:r>
      <w:r w:rsidRPr="00235002">
        <w:rPr>
          <w:snapToGrid w:val="0"/>
        </w:rPr>
        <w:t xml:space="preserve"> location </w:t>
      </w:r>
      <w:r w:rsidR="00410D1F" w:rsidRPr="00235002">
        <w:rPr>
          <w:snapToGrid w:val="0"/>
        </w:rPr>
        <w:t>within the</w:t>
      </w:r>
      <w:r w:rsidRPr="00235002">
        <w:rPr>
          <w:snapToGrid w:val="0"/>
        </w:rPr>
        <w:t xml:space="preserve"> target area</w:t>
      </w:r>
      <w:r w:rsidR="00410D1F" w:rsidRPr="00235002">
        <w:rPr>
          <w:snapToGrid w:val="0"/>
        </w:rPr>
        <w:t xml:space="preserve"> (if applicable)</w:t>
      </w:r>
      <w:r w:rsidRPr="00235002">
        <w:rPr>
          <w:snapToGrid w:val="0"/>
        </w:rPr>
        <w:t>; OR</w:t>
      </w:r>
    </w:p>
    <w:p w14:paraId="6C9CB643" w14:textId="4E979E69" w:rsidR="00064649" w:rsidRPr="00235002" w:rsidRDefault="00064649" w:rsidP="00BB18DA">
      <w:pPr>
        <w:pStyle w:val="3BULLETarial11"/>
        <w:numPr>
          <w:ilvl w:val="0"/>
          <w:numId w:val="25"/>
        </w:numPr>
        <w:rPr>
          <w:snapToGrid w:val="0"/>
        </w:rPr>
      </w:pPr>
      <w:r w:rsidRPr="00235002">
        <w:rPr>
          <w:snapToGrid w:val="0"/>
        </w:rPr>
        <w:t xml:space="preserve">Post the notice in one public place accessible to the </w:t>
      </w:r>
      <w:proofErr w:type="gramStart"/>
      <w:r w:rsidRPr="00235002">
        <w:rPr>
          <w:snapToGrid w:val="0"/>
        </w:rPr>
        <w:t>general public</w:t>
      </w:r>
      <w:proofErr w:type="gramEnd"/>
      <w:r w:rsidRPr="00235002">
        <w:rPr>
          <w:snapToGrid w:val="0"/>
        </w:rPr>
        <w:t xml:space="preserve"> at the time of the posting, such as the courthouse/city hall, </w:t>
      </w:r>
      <w:r w:rsidR="00770C6B" w:rsidRPr="00770C6B">
        <w:rPr>
          <w:b/>
          <w:bCs/>
          <w:snapToGrid w:val="0"/>
        </w:rPr>
        <w:t>and</w:t>
      </w:r>
      <w:r w:rsidRPr="00235002">
        <w:rPr>
          <w:snapToGrid w:val="0"/>
        </w:rPr>
        <w:t xml:space="preserve"> post on Grant Recipient’s website.</w:t>
      </w:r>
    </w:p>
    <w:p w14:paraId="530921F3" w14:textId="0BB4AE05" w:rsidR="00064649" w:rsidRPr="00235002" w:rsidRDefault="00064649" w:rsidP="00BB18DA">
      <w:pPr>
        <w:pStyle w:val="3BULLETarial11"/>
        <w:rPr>
          <w:snapToGrid w:val="0"/>
        </w:rPr>
      </w:pPr>
      <w:r w:rsidRPr="00235002">
        <w:rPr>
          <w:snapToGrid w:val="0"/>
        </w:rPr>
        <w:t xml:space="preserve">Posted </w:t>
      </w:r>
      <w:r w:rsidR="004C4B5F">
        <w:rPr>
          <w:snapToGrid w:val="0"/>
        </w:rPr>
        <w:t>n</w:t>
      </w:r>
      <w:r w:rsidRPr="00235002">
        <w:rPr>
          <w:snapToGrid w:val="0"/>
        </w:rPr>
        <w:t xml:space="preserve">otices must be in a location accessible to the </w:t>
      </w:r>
      <w:proofErr w:type="gramStart"/>
      <w:r w:rsidRPr="00235002">
        <w:rPr>
          <w:snapToGrid w:val="0"/>
        </w:rPr>
        <w:t>general public</w:t>
      </w:r>
      <w:proofErr w:type="gramEnd"/>
      <w:r w:rsidRPr="00235002">
        <w:rPr>
          <w:snapToGrid w:val="0"/>
        </w:rPr>
        <w:t xml:space="preserve"> at the time of the posting</w:t>
      </w:r>
      <w:r w:rsidR="00CB4CB6" w:rsidRPr="00235002">
        <w:rPr>
          <w:snapToGrid w:val="0"/>
        </w:rPr>
        <w:t>.</w:t>
      </w:r>
    </w:p>
    <w:p w14:paraId="356C0CF7" w14:textId="304274D8" w:rsidR="00410D1F" w:rsidRPr="00235002" w:rsidRDefault="00410D1F" w:rsidP="00BB18DA">
      <w:pPr>
        <w:pStyle w:val="3BULLETarial11"/>
        <w:rPr>
          <w:snapToGrid w:val="0"/>
        </w:rPr>
      </w:pPr>
      <w:r w:rsidRPr="00235002">
        <w:rPr>
          <w:snapToGrid w:val="0"/>
        </w:rPr>
        <w:t xml:space="preserve">The </w:t>
      </w:r>
      <w:r w:rsidR="00770C6B">
        <w:rPr>
          <w:snapToGrid w:val="0"/>
        </w:rPr>
        <w:t>P</w:t>
      </w:r>
      <w:r w:rsidRPr="00235002">
        <w:rPr>
          <w:snapToGrid w:val="0"/>
        </w:rPr>
        <w:t xml:space="preserve">ublic </w:t>
      </w:r>
      <w:r w:rsidR="00FB2FE6">
        <w:rPr>
          <w:snapToGrid w:val="0"/>
        </w:rPr>
        <w:t>N</w:t>
      </w:r>
      <w:r w:rsidRPr="00235002">
        <w:rPr>
          <w:snapToGrid w:val="0"/>
        </w:rPr>
        <w:t xml:space="preserve">otice must include all required information in English and any other appropriate language(s) per the </w:t>
      </w:r>
      <w:r w:rsidR="006B6537">
        <w:rPr>
          <w:snapToGrid w:val="0"/>
        </w:rPr>
        <w:t>Grant R</w:t>
      </w:r>
      <w:r w:rsidRPr="00235002">
        <w:rPr>
          <w:snapToGrid w:val="0"/>
        </w:rPr>
        <w:t xml:space="preserve">ecipient’s </w:t>
      </w:r>
      <w:r w:rsidR="004C4B5F">
        <w:rPr>
          <w:snapToGrid w:val="0"/>
        </w:rPr>
        <w:t xml:space="preserve">LEP </w:t>
      </w:r>
      <w:r w:rsidRPr="00235002">
        <w:rPr>
          <w:snapToGrid w:val="0"/>
        </w:rPr>
        <w:t>plan</w:t>
      </w:r>
      <w:r w:rsidR="001375DD">
        <w:rPr>
          <w:snapToGrid w:val="0"/>
        </w:rPr>
        <w:t xml:space="preserve">. </w:t>
      </w:r>
      <w:r w:rsidR="00FC65D0" w:rsidRPr="00235002">
        <w:rPr>
          <w:snapToGrid w:val="0"/>
        </w:rPr>
        <w:t xml:space="preserve">See </w:t>
      </w:r>
      <w:r w:rsidR="00FC65D0" w:rsidRPr="004C4B5F">
        <w:rPr>
          <w:i/>
          <w:iCs/>
          <w:snapToGrid w:val="0"/>
        </w:rPr>
        <w:t>Chapter 10</w:t>
      </w:r>
      <w:r w:rsidR="00FC65D0" w:rsidRPr="00235002">
        <w:rPr>
          <w:snapToGrid w:val="0"/>
        </w:rPr>
        <w:t xml:space="preserve"> </w:t>
      </w:r>
      <w:r w:rsidR="00FC65D0" w:rsidRPr="001375DD">
        <w:rPr>
          <w:i/>
          <w:iCs/>
          <w:snapToGrid w:val="0"/>
        </w:rPr>
        <w:t>Civil Rights</w:t>
      </w:r>
      <w:r w:rsidR="001375DD">
        <w:rPr>
          <w:snapToGrid w:val="0"/>
        </w:rPr>
        <w:t>.</w:t>
      </w:r>
    </w:p>
    <w:p w14:paraId="59777A80" w14:textId="52E7A57A" w:rsidR="00064649" w:rsidRPr="00235002" w:rsidRDefault="00410D1F" w:rsidP="00BB18DA">
      <w:pPr>
        <w:pStyle w:val="3BULLETarial11"/>
        <w:rPr>
          <w:snapToGrid w:val="0"/>
        </w:rPr>
      </w:pPr>
      <w:r w:rsidRPr="00235002">
        <w:rPr>
          <w:snapToGrid w:val="0"/>
        </w:rPr>
        <w:t xml:space="preserve">The Grant Recipient must retain </w:t>
      </w:r>
      <w:r w:rsidR="006B6537">
        <w:rPr>
          <w:snapToGrid w:val="0"/>
        </w:rPr>
        <w:t xml:space="preserve">the following </w:t>
      </w:r>
      <w:r w:rsidRPr="00235002">
        <w:rPr>
          <w:snapToGrid w:val="0"/>
        </w:rPr>
        <w:t>documentation of the Public Notice:</w:t>
      </w:r>
      <w:r w:rsidR="00064649" w:rsidRPr="00235002">
        <w:rPr>
          <w:snapToGrid w:val="0"/>
        </w:rPr>
        <w:t xml:space="preserve">  </w:t>
      </w:r>
    </w:p>
    <w:p w14:paraId="35009CE9" w14:textId="0F0A3EDF" w:rsidR="00064649" w:rsidRPr="001375DD" w:rsidRDefault="00064649" w:rsidP="00BB18DA">
      <w:pPr>
        <w:pStyle w:val="3BULLETarial11"/>
        <w:numPr>
          <w:ilvl w:val="0"/>
          <w:numId w:val="26"/>
        </w:numPr>
      </w:pPr>
      <w:r w:rsidRPr="005B13BB">
        <w:rPr>
          <w:b/>
          <w:bCs/>
        </w:rPr>
        <w:t xml:space="preserve">Published </w:t>
      </w:r>
      <w:r w:rsidR="00770C6B" w:rsidRPr="005B13BB">
        <w:rPr>
          <w:b/>
          <w:bCs/>
        </w:rPr>
        <w:t>N</w:t>
      </w:r>
      <w:r w:rsidRPr="005B13BB">
        <w:rPr>
          <w:b/>
          <w:bCs/>
        </w:rPr>
        <w:t>otices</w:t>
      </w:r>
      <w:r w:rsidR="001375DD">
        <w:t xml:space="preserve"> – </w:t>
      </w:r>
      <w:r w:rsidR="005006CB" w:rsidRPr="001375DD">
        <w:t xml:space="preserve">TDA will accept either a copy of the notice or the full newspaper page on which the notice occurred. The publication text, title, date of publication, name of the newspaper, and page number must be clear and readable, </w:t>
      </w:r>
      <w:r w:rsidR="00F35013" w:rsidRPr="001375DD">
        <w:t>and</w:t>
      </w:r>
      <w:r w:rsidR="00F35013">
        <w:t xml:space="preserve"> supported by affidavit. See </w:t>
      </w:r>
      <w:r w:rsidR="00F35013" w:rsidRPr="00F35013">
        <w:rPr>
          <w:i/>
          <w:iCs/>
        </w:rPr>
        <w:t>Sample Affidavit of Posting</w:t>
      </w:r>
      <w:r w:rsidR="00F35013">
        <w:t xml:space="preserve"> </w:t>
      </w:r>
      <w:r w:rsidR="00F35013" w:rsidRPr="00F35013">
        <w:rPr>
          <w:b/>
          <w:bCs/>
        </w:rPr>
        <w:t>(Form A101).</w:t>
      </w:r>
      <w:r w:rsidR="00F35013">
        <w:t xml:space="preserve"> </w:t>
      </w:r>
      <w:r w:rsidR="005006CB" w:rsidRPr="001375DD">
        <w:t xml:space="preserve"> T</w:t>
      </w:r>
      <w:r w:rsidRPr="001375DD">
        <w:t>he original newspaper tear</w:t>
      </w:r>
      <w:r w:rsidR="0005582C">
        <w:t xml:space="preserve"> </w:t>
      </w:r>
      <w:r w:rsidRPr="001375DD">
        <w:t>sheet or a photocopy of the notice and a publisher’s affidavit must be kept with the Grant Recipient’s local file for the public, TDA monitors</w:t>
      </w:r>
      <w:r w:rsidR="000C6387">
        <w:t>,</w:t>
      </w:r>
      <w:r w:rsidRPr="001375DD">
        <w:t xml:space="preserve"> and other state or federal inspectors. </w:t>
      </w:r>
    </w:p>
    <w:p w14:paraId="197CC112" w14:textId="601323EF" w:rsidR="00FC65D0" w:rsidRPr="001375DD" w:rsidRDefault="00FC65D0" w:rsidP="00BB18DA">
      <w:pPr>
        <w:pStyle w:val="3BULLETarial11"/>
        <w:numPr>
          <w:ilvl w:val="0"/>
          <w:numId w:val="26"/>
        </w:numPr>
      </w:pPr>
      <w:r w:rsidRPr="005B13BB">
        <w:rPr>
          <w:b/>
          <w:bCs/>
        </w:rPr>
        <w:t xml:space="preserve">Website </w:t>
      </w:r>
      <w:r w:rsidR="00770C6B" w:rsidRPr="005B13BB">
        <w:rPr>
          <w:b/>
          <w:bCs/>
        </w:rPr>
        <w:t>N</w:t>
      </w:r>
      <w:r w:rsidRPr="005B13BB">
        <w:rPr>
          <w:b/>
          <w:bCs/>
        </w:rPr>
        <w:t>otices</w:t>
      </w:r>
      <w:r w:rsidR="005B13BB">
        <w:t xml:space="preserve"> – S</w:t>
      </w:r>
      <w:r w:rsidRPr="001375DD">
        <w:t xml:space="preserve">creen shots of the posting </w:t>
      </w:r>
      <w:r w:rsidR="005B13BB">
        <w:t xml:space="preserve">with the date visible </w:t>
      </w:r>
      <w:r w:rsidRPr="001375DD">
        <w:t xml:space="preserve">must </w:t>
      </w:r>
      <w:r w:rsidR="00286C1C" w:rsidRPr="001375DD">
        <w:t xml:space="preserve">be </w:t>
      </w:r>
      <w:r w:rsidRPr="001375DD">
        <w:t>retained as documentation of the posting.</w:t>
      </w:r>
    </w:p>
    <w:p w14:paraId="367E9D70" w14:textId="455B06A1" w:rsidR="00FC65D0" w:rsidRPr="001375DD" w:rsidRDefault="00FC65D0" w:rsidP="00BB18DA">
      <w:pPr>
        <w:pStyle w:val="3BULLETarial11"/>
        <w:numPr>
          <w:ilvl w:val="0"/>
          <w:numId w:val="26"/>
        </w:numPr>
      </w:pPr>
      <w:r w:rsidRPr="005B13BB">
        <w:rPr>
          <w:b/>
          <w:bCs/>
        </w:rPr>
        <w:t xml:space="preserve">Posted </w:t>
      </w:r>
      <w:r w:rsidR="00770C6B" w:rsidRPr="005B13BB">
        <w:rPr>
          <w:b/>
          <w:bCs/>
        </w:rPr>
        <w:t>N</w:t>
      </w:r>
      <w:r w:rsidRPr="005B13BB">
        <w:rPr>
          <w:b/>
          <w:bCs/>
        </w:rPr>
        <w:t>otices</w:t>
      </w:r>
      <w:r w:rsidR="001375DD">
        <w:t xml:space="preserve"> – </w:t>
      </w:r>
      <w:r w:rsidR="005B13BB">
        <w:t>Le</w:t>
      </w:r>
      <w:r w:rsidRPr="001375DD">
        <w:t xml:space="preserve">gible photographs showing the location of the posting are required. </w:t>
      </w:r>
    </w:p>
    <w:p w14:paraId="6B8B77B3" w14:textId="2CDE17B5" w:rsidR="00F97D4C" w:rsidRPr="001375DD" w:rsidRDefault="00064649" w:rsidP="005B13BB">
      <w:pPr>
        <w:pStyle w:val="3BULLETarial11"/>
        <w:numPr>
          <w:ilvl w:val="0"/>
          <w:numId w:val="26"/>
        </w:numPr>
        <w:ind w:right="216"/>
      </w:pPr>
      <w:r w:rsidRPr="005B13BB">
        <w:rPr>
          <w:b/>
          <w:bCs/>
        </w:rPr>
        <w:t xml:space="preserve">Posted </w:t>
      </w:r>
      <w:r w:rsidR="00770C6B" w:rsidRPr="005B13BB">
        <w:rPr>
          <w:b/>
          <w:bCs/>
        </w:rPr>
        <w:t>N</w:t>
      </w:r>
      <w:r w:rsidRPr="005B13BB">
        <w:rPr>
          <w:b/>
          <w:bCs/>
        </w:rPr>
        <w:t>otice</w:t>
      </w:r>
      <w:r w:rsidR="005B13BB">
        <w:rPr>
          <w:b/>
          <w:bCs/>
        </w:rPr>
        <w:t xml:space="preserve">s </w:t>
      </w:r>
      <w:r w:rsidR="005B13BB" w:rsidRPr="000C6387">
        <w:t>–</w:t>
      </w:r>
      <w:r w:rsidR="005B13BB">
        <w:rPr>
          <w:b/>
          <w:bCs/>
        </w:rPr>
        <w:t xml:space="preserve"> </w:t>
      </w:r>
      <w:r w:rsidR="005B13BB" w:rsidRPr="005B13BB">
        <w:t>M</w:t>
      </w:r>
      <w:r w:rsidRPr="005B13BB">
        <w:t>us</w:t>
      </w:r>
      <w:r w:rsidRPr="001375DD">
        <w:t>t be supported by affidavit</w:t>
      </w:r>
      <w:r w:rsidR="001375DD">
        <w:t xml:space="preserve">. See </w:t>
      </w:r>
      <w:r w:rsidR="001375DD" w:rsidRPr="001375DD">
        <w:rPr>
          <w:i/>
          <w:iCs/>
        </w:rPr>
        <w:t>S</w:t>
      </w:r>
      <w:r w:rsidRPr="001375DD">
        <w:rPr>
          <w:i/>
          <w:iCs/>
        </w:rPr>
        <w:t>ample Affidavit of Posting</w:t>
      </w:r>
      <w:r w:rsidRPr="001375DD">
        <w:t xml:space="preserve"> </w:t>
      </w:r>
      <w:r w:rsidR="001375DD" w:rsidRPr="001375DD">
        <w:rPr>
          <w:b/>
          <w:bCs/>
        </w:rPr>
        <w:t>(</w:t>
      </w:r>
      <w:r w:rsidRPr="001375DD">
        <w:rPr>
          <w:b/>
          <w:bCs/>
        </w:rPr>
        <w:t>Form A101)</w:t>
      </w:r>
      <w:r w:rsidR="00F97D4C" w:rsidRPr="001375DD">
        <w:rPr>
          <w:b/>
          <w:bCs/>
        </w:rPr>
        <w:t>.</w:t>
      </w:r>
    </w:p>
    <w:bookmarkEnd w:id="28"/>
    <w:p w14:paraId="7342BEF3" w14:textId="1A40981E" w:rsidR="00F97D4C" w:rsidRDefault="00F97D4C" w:rsidP="00F97D4C">
      <w:pPr>
        <w:jc w:val="both"/>
        <w:rPr>
          <w:color w:val="000000" w:themeColor="text1"/>
        </w:rPr>
      </w:pPr>
    </w:p>
    <w:p w14:paraId="01F84A9B" w14:textId="7D355343" w:rsidR="00091AA6" w:rsidRDefault="00091AA6" w:rsidP="00091AA6">
      <w:pPr>
        <w:pStyle w:val="4ArialBold14"/>
      </w:pPr>
      <w:bookmarkStart w:id="29" w:name="_Toc97737601"/>
      <w:r w:rsidRPr="00235002">
        <w:t>1.1.</w:t>
      </w:r>
      <w:r>
        <w:t>6</w:t>
      </w:r>
      <w:r w:rsidRPr="00235002">
        <w:t xml:space="preserve"> </w:t>
      </w:r>
      <w:r>
        <w:t>Key Geographic Terms</w:t>
      </w:r>
      <w:bookmarkEnd w:id="29"/>
    </w:p>
    <w:p w14:paraId="01C83E36" w14:textId="14737BE7" w:rsidR="00091AA6" w:rsidRDefault="00091AA6" w:rsidP="00091AA6">
      <w:pPr>
        <w:pStyle w:val="3BULLETarial11"/>
        <w:numPr>
          <w:ilvl w:val="0"/>
          <w:numId w:val="0"/>
        </w:numPr>
      </w:pPr>
    </w:p>
    <w:p w14:paraId="2D650E68" w14:textId="25AFBA69" w:rsidR="00091AA6" w:rsidRDefault="00091AA6" w:rsidP="00091AA6">
      <w:pPr>
        <w:pStyle w:val="3BULLETarial11"/>
        <w:numPr>
          <w:ilvl w:val="0"/>
          <w:numId w:val="0"/>
        </w:numPr>
      </w:pPr>
      <w:r>
        <w:t>The TxCDBG program relies on several key geographic areas to determine eligibility and compliance requirements for each project.</w:t>
      </w:r>
    </w:p>
    <w:p w14:paraId="618F1699" w14:textId="28FDCCD6" w:rsidR="00091AA6" w:rsidRDefault="00091AA6" w:rsidP="00091AA6">
      <w:pPr>
        <w:pStyle w:val="3BULLETarial11"/>
        <w:numPr>
          <w:ilvl w:val="0"/>
          <w:numId w:val="0"/>
        </w:numPr>
      </w:pPr>
    </w:p>
    <w:p w14:paraId="2BA7EA83" w14:textId="408B5A9B" w:rsidR="00091AA6" w:rsidRPr="00091AA6" w:rsidRDefault="00091AA6" w:rsidP="00091AA6">
      <w:pPr>
        <w:pStyle w:val="3BULLETarial11"/>
        <w:numPr>
          <w:ilvl w:val="0"/>
          <w:numId w:val="0"/>
        </w:numPr>
        <w:rPr>
          <w:u w:val="single"/>
        </w:rPr>
      </w:pPr>
      <w:r w:rsidRPr="00091AA6">
        <w:rPr>
          <w:u w:val="single"/>
        </w:rPr>
        <w:t xml:space="preserve">Project Area/Location </w:t>
      </w:r>
    </w:p>
    <w:p w14:paraId="5022AD0B" w14:textId="77777777" w:rsidR="00091AA6" w:rsidRDefault="00091AA6" w:rsidP="00091AA6">
      <w:pPr>
        <w:pStyle w:val="3BULLETarial11"/>
        <w:numPr>
          <w:ilvl w:val="0"/>
          <w:numId w:val="0"/>
        </w:numPr>
      </w:pPr>
      <w:r>
        <w:t>This term is use when identifying the physical location of infrastructure improvements, facilities, or other elements of the project.</w:t>
      </w:r>
    </w:p>
    <w:p w14:paraId="03BD8A3B" w14:textId="1157850B" w:rsidR="00091AA6" w:rsidRDefault="00091AA6" w:rsidP="00091AA6">
      <w:pPr>
        <w:pStyle w:val="3BULLETarial11"/>
        <w:numPr>
          <w:ilvl w:val="0"/>
          <w:numId w:val="0"/>
        </w:numPr>
      </w:pPr>
    </w:p>
    <w:p w14:paraId="25EED7A6" w14:textId="77777777" w:rsidR="00091AA6" w:rsidRPr="00AE3DB6" w:rsidRDefault="00091AA6" w:rsidP="00091AA6">
      <w:pPr>
        <w:pStyle w:val="3BULLETarial11"/>
        <w:numPr>
          <w:ilvl w:val="0"/>
          <w:numId w:val="0"/>
        </w:numPr>
        <w:rPr>
          <w:u w:val="single"/>
        </w:rPr>
      </w:pPr>
      <w:r w:rsidRPr="00AE3DB6">
        <w:rPr>
          <w:u w:val="single"/>
        </w:rPr>
        <w:t>Benefit Area</w:t>
      </w:r>
    </w:p>
    <w:p w14:paraId="3D1FD0CA" w14:textId="7A685B35" w:rsidR="00091AA6" w:rsidRDefault="00091AA6" w:rsidP="00091AA6">
      <w:pPr>
        <w:pStyle w:val="3BULLETarial11"/>
        <w:numPr>
          <w:ilvl w:val="0"/>
          <w:numId w:val="0"/>
        </w:numPr>
      </w:pPr>
      <w:r>
        <w:t xml:space="preserve">This term </w:t>
      </w:r>
      <w:r w:rsidR="00AE3DB6">
        <w:t>identifies</w:t>
      </w:r>
      <w:r>
        <w:t xml:space="preserve"> the location of all households benefitting from the project. </w:t>
      </w:r>
      <w:r w:rsidR="00AE3DB6">
        <w:t xml:space="preserve"> Refer to the </w:t>
      </w:r>
      <w:r w:rsidR="00AE3DB6" w:rsidRPr="002128DC">
        <w:rPr>
          <w:i/>
          <w:iCs/>
        </w:rPr>
        <w:t>TxCDBG Guide to Meeting a National Program Objective</w:t>
      </w:r>
      <w:r w:rsidR="00AE3DB6">
        <w:t xml:space="preserve"> for guidance on identifying this area for each type of project.</w:t>
      </w:r>
    </w:p>
    <w:p w14:paraId="0BE164E2" w14:textId="425BCEE7" w:rsidR="00091AA6" w:rsidRDefault="00091AA6" w:rsidP="00091AA6">
      <w:pPr>
        <w:pStyle w:val="3BULLETarial11"/>
        <w:numPr>
          <w:ilvl w:val="0"/>
          <w:numId w:val="0"/>
        </w:numPr>
      </w:pPr>
    </w:p>
    <w:p w14:paraId="571D4D88" w14:textId="270BD005" w:rsidR="00AE3DB6" w:rsidRPr="00AE3DB6" w:rsidRDefault="00AE3DB6" w:rsidP="00091AA6">
      <w:pPr>
        <w:pStyle w:val="3BULLETarial11"/>
        <w:numPr>
          <w:ilvl w:val="0"/>
          <w:numId w:val="0"/>
        </w:numPr>
        <w:rPr>
          <w:u w:val="single"/>
        </w:rPr>
      </w:pPr>
      <w:r w:rsidRPr="00AE3DB6">
        <w:rPr>
          <w:u w:val="single"/>
        </w:rPr>
        <w:t>Census Geography</w:t>
      </w:r>
    </w:p>
    <w:p w14:paraId="0B3818BA" w14:textId="407B8CB9" w:rsidR="00AE3DB6" w:rsidRPr="00091AA6" w:rsidRDefault="00AE3DB6" w:rsidP="00091AA6">
      <w:pPr>
        <w:pStyle w:val="3BULLETarial11"/>
        <w:numPr>
          <w:ilvl w:val="0"/>
          <w:numId w:val="0"/>
        </w:numPr>
      </w:pPr>
      <w:r>
        <w:t xml:space="preserve">This term refers to geographic areas designated by the U.S. Census Bureau, such as census tracts, block groups, and blocks.  Census data provided based on these geographies may be used for scoring and/or income documentation purposes as allowed by program requirements; </w:t>
      </w:r>
      <w:proofErr w:type="gramStart"/>
      <w:r>
        <w:t>however</w:t>
      </w:r>
      <w:proofErr w:type="gramEnd"/>
      <w:r>
        <w:t xml:space="preserve"> these geographies are not a substitute for properly identifying the benefit area of a project.</w:t>
      </w:r>
    </w:p>
    <w:p w14:paraId="3B18705E" w14:textId="4651B05E" w:rsidR="00770C6B" w:rsidRDefault="00770C6B" w:rsidP="00F97D4C">
      <w:pPr>
        <w:jc w:val="both"/>
        <w:rPr>
          <w:color w:val="000000" w:themeColor="text1"/>
        </w:rPr>
      </w:pPr>
    </w:p>
    <w:p w14:paraId="737D52C3" w14:textId="77777777" w:rsidR="002217D4" w:rsidRDefault="002217D4" w:rsidP="00AE3DB6">
      <w:pPr>
        <w:pStyle w:val="3BULLETarial11"/>
        <w:numPr>
          <w:ilvl w:val="0"/>
          <w:numId w:val="0"/>
        </w:numPr>
        <w:rPr>
          <w:u w:val="single"/>
        </w:rPr>
      </w:pPr>
    </w:p>
    <w:p w14:paraId="46E7E0F6" w14:textId="13BDCD65" w:rsidR="00AE3DB6" w:rsidRPr="00AE3DB6" w:rsidRDefault="00AE3DB6" w:rsidP="00AE3DB6">
      <w:pPr>
        <w:pStyle w:val="3BULLETarial11"/>
        <w:numPr>
          <w:ilvl w:val="0"/>
          <w:numId w:val="0"/>
        </w:numPr>
        <w:rPr>
          <w:u w:val="single"/>
        </w:rPr>
      </w:pPr>
      <w:r w:rsidRPr="00AE3DB6">
        <w:rPr>
          <w:u w:val="single"/>
        </w:rPr>
        <w:lastRenderedPageBreak/>
        <w:t>Grant Recipient Jurisdiction</w:t>
      </w:r>
    </w:p>
    <w:p w14:paraId="199081DC" w14:textId="385FC622" w:rsidR="00AE3DB6" w:rsidRDefault="00AE3DB6" w:rsidP="00AE3DB6">
      <w:pPr>
        <w:pStyle w:val="3BULLETarial11"/>
        <w:numPr>
          <w:ilvl w:val="0"/>
          <w:numId w:val="0"/>
        </w:numPr>
      </w:pPr>
      <w:r>
        <w:t xml:space="preserve">The county </w:t>
      </w:r>
      <w:r w:rsidR="006B6537">
        <w:t xml:space="preserve">boundaries </w:t>
      </w:r>
      <w:r>
        <w:t xml:space="preserve">or city limits may be important to defining certain projects and the jurisdiction a Grant Recipient </w:t>
      </w:r>
      <w:proofErr w:type="gramStart"/>
      <w:r>
        <w:t>has to</w:t>
      </w:r>
      <w:proofErr w:type="gramEnd"/>
      <w:r>
        <w:t xml:space="preserve"> implement the project.  </w:t>
      </w:r>
      <w:r w:rsidR="00F71CCB">
        <w:t>While these boundaries alone do not define a benefit area, some services may be provided solely or primarily within a Grant Recipient’s jurisdiction.</w:t>
      </w:r>
    </w:p>
    <w:p w14:paraId="32EC57EA" w14:textId="6565B76F" w:rsidR="00F71CCB" w:rsidRDefault="00F71CCB" w:rsidP="00AE3DB6">
      <w:pPr>
        <w:pStyle w:val="3BULLETarial11"/>
        <w:numPr>
          <w:ilvl w:val="0"/>
          <w:numId w:val="0"/>
        </w:numPr>
      </w:pPr>
    </w:p>
    <w:p w14:paraId="0A3B0375" w14:textId="1DB81C43" w:rsidR="00F71CCB" w:rsidRPr="00F71CCB" w:rsidRDefault="00F71CCB" w:rsidP="00AE3DB6">
      <w:pPr>
        <w:pStyle w:val="3BULLETarial11"/>
        <w:numPr>
          <w:ilvl w:val="0"/>
          <w:numId w:val="0"/>
        </w:numPr>
        <w:rPr>
          <w:u w:val="single"/>
        </w:rPr>
      </w:pPr>
      <w:r w:rsidRPr="00F71CCB">
        <w:rPr>
          <w:u w:val="single"/>
        </w:rPr>
        <w:t>Environmental Review – Aggregate Project Area</w:t>
      </w:r>
    </w:p>
    <w:p w14:paraId="3B20EDDD" w14:textId="1AF1AFC9" w:rsidR="00F71CCB" w:rsidRDefault="00F71CCB" w:rsidP="00AE3DB6">
      <w:pPr>
        <w:pStyle w:val="3BULLETarial11"/>
        <w:numPr>
          <w:ilvl w:val="0"/>
          <w:numId w:val="0"/>
        </w:numPr>
      </w:pPr>
      <w:r>
        <w:t>This area includes the physical locations of all work funded by the project, AND all work that is geographically or functionally related to the project even if not funded by the grant, and the surrounding areas impacted by such work.</w:t>
      </w:r>
      <w:r w:rsidR="0071088B">
        <w:t xml:space="preserve">  See Chapter 3.</w:t>
      </w:r>
    </w:p>
    <w:p w14:paraId="5A7DCEF6" w14:textId="21A9D460" w:rsidR="00AE3DB6" w:rsidRDefault="00AE3DB6" w:rsidP="00AE3DB6">
      <w:pPr>
        <w:pStyle w:val="3BULLETarial11"/>
        <w:numPr>
          <w:ilvl w:val="0"/>
          <w:numId w:val="0"/>
        </w:numPr>
      </w:pPr>
    </w:p>
    <w:p w14:paraId="0B4528F7" w14:textId="68F0EA6F" w:rsidR="00F71CCB" w:rsidRPr="0071088B" w:rsidRDefault="00F71CCB" w:rsidP="00AE3DB6">
      <w:pPr>
        <w:pStyle w:val="3BULLETarial11"/>
        <w:numPr>
          <w:ilvl w:val="0"/>
          <w:numId w:val="0"/>
        </w:numPr>
        <w:rPr>
          <w:u w:val="single"/>
        </w:rPr>
      </w:pPr>
      <w:r w:rsidRPr="0071088B">
        <w:rPr>
          <w:u w:val="single"/>
        </w:rPr>
        <w:t>Section 3 Service Area</w:t>
      </w:r>
    </w:p>
    <w:p w14:paraId="7D5E9251" w14:textId="23BD0911" w:rsidR="00F71CCB" w:rsidRDefault="00F71CCB" w:rsidP="00AE3DB6">
      <w:pPr>
        <w:pStyle w:val="3BULLETarial11"/>
        <w:numPr>
          <w:ilvl w:val="0"/>
          <w:numId w:val="0"/>
        </w:numPr>
      </w:pPr>
      <w:r>
        <w:t xml:space="preserve">This area </w:t>
      </w:r>
      <w:r w:rsidR="0071088B">
        <w:t xml:space="preserve">surrounds the physical location(s) of grant funded construction work and </w:t>
      </w:r>
      <w:r>
        <w:t>identifies geograph</w:t>
      </w:r>
      <w:r w:rsidR="006B6537">
        <w:t>ic area</w:t>
      </w:r>
      <w:r>
        <w:t xml:space="preserve"> where potential workers may reside. </w:t>
      </w:r>
      <w:r w:rsidR="0071088B">
        <w:t xml:space="preserve"> This area must have a minimum population of 5,000 person</w:t>
      </w:r>
      <w:r w:rsidR="006B6537">
        <w:t>s</w:t>
      </w:r>
      <w:r w:rsidR="0071088B">
        <w:t>.  See Chapter 10.</w:t>
      </w:r>
    </w:p>
    <w:p w14:paraId="6E112EEB" w14:textId="77777777" w:rsidR="00F71CCB" w:rsidRDefault="00F71CCB" w:rsidP="00AE3DB6">
      <w:pPr>
        <w:pStyle w:val="3BULLETarial11"/>
        <w:numPr>
          <w:ilvl w:val="0"/>
          <w:numId w:val="0"/>
        </w:numPr>
      </w:pPr>
    </w:p>
    <w:p w14:paraId="14A05541" w14:textId="197BD5B7" w:rsidR="00AE3DB6" w:rsidRDefault="0071088B" w:rsidP="0071088B">
      <w:pPr>
        <w:pStyle w:val="3BULLETarial11"/>
        <w:numPr>
          <w:ilvl w:val="0"/>
          <w:numId w:val="0"/>
        </w:numPr>
      </w:pPr>
      <w:r w:rsidRPr="00644214">
        <w:rPr>
          <w:u w:val="single"/>
        </w:rPr>
        <w:t>Geographies for Specific Fund Categories</w:t>
      </w:r>
      <w:r>
        <w:t xml:space="preserve"> – see Request for Application Guides for additional detail:</w:t>
      </w:r>
    </w:p>
    <w:p w14:paraId="1BD1E500" w14:textId="18868ABC" w:rsidR="0071088B" w:rsidRDefault="0071088B" w:rsidP="0071088B">
      <w:pPr>
        <w:pStyle w:val="3BULLETarial11"/>
      </w:pPr>
      <w:r>
        <w:t xml:space="preserve">Colonia area – an unincorporated community </w:t>
      </w:r>
      <w:r w:rsidR="009254B8">
        <w:t xml:space="preserve">located in a non-metropolitan county within 150 miles of the Texas-Mexico border, </w:t>
      </w:r>
      <w:r>
        <w:t xml:space="preserve">established prior to November </w:t>
      </w:r>
      <w:r w:rsidR="009254B8">
        <w:t xml:space="preserve">1990, and </w:t>
      </w:r>
      <w:r>
        <w:t>lacking public infrastructure</w:t>
      </w:r>
      <w:r w:rsidR="009254B8">
        <w:t>.</w:t>
      </w:r>
    </w:p>
    <w:p w14:paraId="04C3D0F6" w14:textId="64C6059B" w:rsidR="0071088B" w:rsidRDefault="0071088B" w:rsidP="0071088B">
      <w:pPr>
        <w:pStyle w:val="3BULLETarial11"/>
      </w:pPr>
      <w:r>
        <w:t>Downtown Area – traditional economic center of a TxCDBG community.</w:t>
      </w:r>
    </w:p>
    <w:p w14:paraId="06A15F89" w14:textId="5902B063" w:rsidR="0071088B" w:rsidRDefault="0071088B" w:rsidP="0071088B">
      <w:pPr>
        <w:pStyle w:val="3BULLETarial11"/>
      </w:pPr>
      <w:r>
        <w:t xml:space="preserve">Main Street Area – the area identified as part of the </w:t>
      </w:r>
      <w:r w:rsidRPr="0071088B">
        <w:t>Texas Historical Commission (THC) Main Street Program</w:t>
      </w:r>
      <w:r>
        <w:t>.</w:t>
      </w:r>
    </w:p>
    <w:p w14:paraId="5735A62C" w14:textId="6CDE8D03" w:rsidR="0071088B" w:rsidRDefault="0071088B" w:rsidP="0071088B">
      <w:pPr>
        <w:pStyle w:val="3BULLETarial11"/>
      </w:pPr>
      <w:r>
        <w:t>Blighted Area – the area identified by local resolution as meeting the HUD definition of a slum or blighted area.  Grant Recipients should not designate the entire community or entire downtown area as blighted unless the entire area meets the definition.</w:t>
      </w:r>
    </w:p>
    <w:p w14:paraId="30D4A879" w14:textId="029CFAD9" w:rsidR="009254B8" w:rsidRDefault="009254B8" w:rsidP="0071088B">
      <w:pPr>
        <w:pStyle w:val="3BULLETarial11"/>
      </w:pPr>
      <w:r>
        <w:t xml:space="preserve">Emergency </w:t>
      </w:r>
      <w:proofErr w:type="spellStart"/>
      <w:r>
        <w:t>Servicer</w:t>
      </w:r>
      <w:proofErr w:type="spellEnd"/>
      <w:r>
        <w:t xml:space="preserve"> Provider Service Area – the area where the service provider is the primary provider for fire or EMS services.  This area may or may not align with city or county </w:t>
      </w:r>
      <w:proofErr w:type="gramStart"/>
      <w:r>
        <w:t>boundaries, and</w:t>
      </w:r>
      <w:proofErr w:type="gramEnd"/>
      <w:r>
        <w:t xml:space="preserve"> excludes geographies where the entity provides mutual aid.</w:t>
      </w:r>
    </w:p>
    <w:p w14:paraId="638695D3" w14:textId="3B82DACC" w:rsidR="0071088B" w:rsidRDefault="0071088B" w:rsidP="0071088B">
      <w:pPr>
        <w:pStyle w:val="3BULLETarial11"/>
        <w:numPr>
          <w:ilvl w:val="0"/>
          <w:numId w:val="0"/>
        </w:numPr>
      </w:pPr>
    </w:p>
    <w:p w14:paraId="26108DB1" w14:textId="77777777" w:rsidR="0071088B" w:rsidRDefault="0071088B" w:rsidP="0071088B">
      <w:pPr>
        <w:pStyle w:val="3BULLETarial11"/>
        <w:numPr>
          <w:ilvl w:val="0"/>
          <w:numId w:val="0"/>
        </w:numPr>
      </w:pPr>
    </w:p>
    <w:p w14:paraId="39849165" w14:textId="77777777" w:rsidR="0071088B" w:rsidRPr="00235002" w:rsidRDefault="0071088B" w:rsidP="00F97D4C">
      <w:pPr>
        <w:jc w:val="both"/>
        <w:rPr>
          <w:color w:val="000000" w:themeColor="text1"/>
        </w:rPr>
      </w:pPr>
    </w:p>
    <w:p w14:paraId="747B327F" w14:textId="339BAC34" w:rsidR="00AD6FFA" w:rsidRPr="00AD6FFA" w:rsidRDefault="00D94721" w:rsidP="00770C6B">
      <w:pPr>
        <w:pStyle w:val="5Arial20"/>
      </w:pPr>
      <w:bookmarkStart w:id="30" w:name="_Toc97737602"/>
      <w:r w:rsidRPr="00AD6FFA">
        <w:t xml:space="preserve">1.2 </w:t>
      </w:r>
      <w:r w:rsidR="00F46F7F" w:rsidRPr="00AD6FFA">
        <w:t>Reporting and Recordkeeping</w:t>
      </w:r>
      <w:bookmarkEnd w:id="30"/>
    </w:p>
    <w:p w14:paraId="22D83B8D" w14:textId="77777777" w:rsidR="001B651C" w:rsidRPr="00235002" w:rsidRDefault="001B651C" w:rsidP="00D94721">
      <w:pPr>
        <w:pStyle w:val="Heading2"/>
        <w:rPr>
          <w:color w:val="000000" w:themeColor="text1"/>
          <w:sz w:val="18"/>
        </w:rPr>
      </w:pPr>
    </w:p>
    <w:p w14:paraId="45BB5FB2" w14:textId="77777777" w:rsidR="00770C6B" w:rsidRDefault="00770C6B" w:rsidP="00A450A6">
      <w:pPr>
        <w:pStyle w:val="4ArialBold14"/>
      </w:pPr>
    </w:p>
    <w:p w14:paraId="4F7B0D69" w14:textId="5C8B8088" w:rsidR="0048542C" w:rsidRDefault="00970FAB" w:rsidP="00A450A6">
      <w:pPr>
        <w:pStyle w:val="4ArialBold14"/>
      </w:pPr>
      <w:bookmarkStart w:id="31" w:name="_Toc97737603"/>
      <w:r w:rsidRPr="00235002">
        <w:t xml:space="preserve">1.2.1 </w:t>
      </w:r>
      <w:r w:rsidR="00031792" w:rsidRPr="00235002">
        <w:t>Establish a Record-</w:t>
      </w:r>
      <w:r w:rsidR="00135E7C">
        <w:t>k</w:t>
      </w:r>
      <w:r w:rsidR="00031792" w:rsidRPr="00235002">
        <w:t>eeping System</w:t>
      </w:r>
      <w:bookmarkEnd w:id="31"/>
      <w:r w:rsidR="00031792" w:rsidRPr="00235002">
        <w:t xml:space="preserve"> </w:t>
      </w:r>
    </w:p>
    <w:p w14:paraId="385F9910" w14:textId="7518DCE2" w:rsidR="000B1167" w:rsidRPr="00BB18DA" w:rsidRDefault="000B1167" w:rsidP="00BB18DA">
      <w:pPr>
        <w:pStyle w:val="1BODY-Arial11"/>
      </w:pPr>
    </w:p>
    <w:p w14:paraId="467FCD03" w14:textId="5EA5938F" w:rsidR="000B1167" w:rsidRPr="00BB18DA" w:rsidRDefault="000B1167" w:rsidP="00BB18DA">
      <w:pPr>
        <w:pStyle w:val="3BULLETarial11"/>
      </w:pPr>
      <w:r w:rsidRPr="00BB18DA">
        <w:t xml:space="preserve">Grant files must be kept at city or county </w:t>
      </w:r>
      <w:r w:rsidR="00FC2A34" w:rsidRPr="00BB18DA">
        <w:t>offices or</w:t>
      </w:r>
      <w:r w:rsidR="00884FB7" w:rsidRPr="00BB18DA">
        <w:t xml:space="preserve"> building</w:t>
      </w:r>
      <w:r w:rsidR="00FC2A34" w:rsidRPr="00BB18DA">
        <w:t>s</w:t>
      </w:r>
      <w:r w:rsidR="00884FB7" w:rsidRPr="00BB18DA">
        <w:t xml:space="preserve"> </w:t>
      </w:r>
      <w:r w:rsidR="00FC2A34" w:rsidRPr="00BB18DA">
        <w:t>in which</w:t>
      </w:r>
      <w:r w:rsidR="00884FB7" w:rsidRPr="00BB18DA">
        <w:t xml:space="preserve"> government records are maintained and accessible to the publi</w:t>
      </w:r>
      <w:r w:rsidR="00097222" w:rsidRPr="00BB18DA">
        <w:t>c</w:t>
      </w:r>
      <w:r w:rsidRPr="00BB18DA">
        <w:t xml:space="preserve"> throughout the </w:t>
      </w:r>
      <w:r w:rsidR="00C74C3A">
        <w:t>grant agreement</w:t>
      </w:r>
      <w:r w:rsidR="00C74C3A" w:rsidRPr="00BB18DA">
        <w:t xml:space="preserve"> </w:t>
      </w:r>
      <w:r w:rsidRPr="00BB18DA">
        <w:t>period.</w:t>
      </w:r>
      <w:r w:rsidR="000C6387">
        <w:t xml:space="preserve"> </w:t>
      </w:r>
      <w:r w:rsidRPr="00BB18DA">
        <w:t xml:space="preserve">Any alternate record storage location must be approved by TDA. All records included in </w:t>
      </w:r>
      <w:r w:rsidR="00BB18DA" w:rsidRPr="00BB18DA">
        <w:rPr>
          <w:i/>
          <w:iCs/>
        </w:rPr>
        <w:t xml:space="preserve">Recommended Filing System </w:t>
      </w:r>
      <w:r w:rsidR="00BB18DA">
        <w:t>(</w:t>
      </w:r>
      <w:r w:rsidRPr="00BB18DA">
        <w:rPr>
          <w:b/>
          <w:bCs/>
        </w:rPr>
        <w:t>Form A103</w:t>
      </w:r>
      <w:r w:rsidR="00BB18DA">
        <w:rPr>
          <w:b/>
          <w:bCs/>
        </w:rPr>
        <w:t>)</w:t>
      </w:r>
      <w:r w:rsidRPr="00BB18DA">
        <w:t xml:space="preserve"> must be included in the local records. </w:t>
      </w:r>
    </w:p>
    <w:p w14:paraId="2FE8B4FF" w14:textId="00B91BD1" w:rsidR="000B1167" w:rsidRPr="00BB18DA" w:rsidRDefault="000B1167" w:rsidP="00BB18DA">
      <w:pPr>
        <w:pStyle w:val="3BULLETarial11"/>
      </w:pPr>
      <w:r w:rsidRPr="00BB18DA">
        <w:t xml:space="preserve">Records shall be retained for a minimum of </w:t>
      </w:r>
      <w:r w:rsidR="006B6537">
        <w:t xml:space="preserve">four </w:t>
      </w:r>
      <w:r w:rsidRPr="00BB18DA">
        <w:t xml:space="preserve">years from closeout of the grant to the </w:t>
      </w:r>
      <w:r w:rsidRPr="00FB2FE6">
        <w:t>state</w:t>
      </w:r>
      <w:r w:rsidR="00B1222D" w:rsidRPr="00BB18DA">
        <w:t>.</w:t>
      </w:r>
      <w:r w:rsidRPr="00BB18DA">
        <w:t xml:space="preserve"> TDA will announce the closeout of each state grant and the individual grant </w:t>
      </w:r>
      <w:r w:rsidR="000630FD">
        <w:t>agreements</w:t>
      </w:r>
      <w:r w:rsidR="000630FD" w:rsidRPr="00BB18DA">
        <w:t xml:space="preserve"> </w:t>
      </w:r>
      <w:r w:rsidRPr="00BB18DA">
        <w:t xml:space="preserve">that may begin the </w:t>
      </w:r>
      <w:r w:rsidR="006B6537">
        <w:t>four</w:t>
      </w:r>
      <w:r w:rsidR="00BB18DA">
        <w:t>-y</w:t>
      </w:r>
      <w:r w:rsidRPr="00BB18DA">
        <w:t>ear retention period.</w:t>
      </w:r>
    </w:p>
    <w:p w14:paraId="0D746A5D" w14:textId="1B31E414" w:rsidR="00B73128" w:rsidRDefault="00B73128" w:rsidP="00BB18DA">
      <w:pPr>
        <w:pStyle w:val="3BULLETarial11"/>
      </w:pPr>
      <w:r w:rsidRPr="00BB18DA">
        <w:t xml:space="preserve">Documents </w:t>
      </w:r>
      <w:r w:rsidR="00793711">
        <w:t>must be</w:t>
      </w:r>
      <w:r w:rsidRPr="00BB18DA">
        <w:t xml:space="preserve"> submitted to TDA </w:t>
      </w:r>
      <w:r w:rsidR="00793711">
        <w:t xml:space="preserve">through TDA-GO unless specifically requested in another format. Documents </w:t>
      </w:r>
      <w:r w:rsidRPr="00BB18DA">
        <w:t xml:space="preserve">cannot be uploaded </w:t>
      </w:r>
      <w:r w:rsidR="00D35B9F" w:rsidRPr="00BB18DA">
        <w:t xml:space="preserve">nor accessed </w:t>
      </w:r>
      <w:r w:rsidRPr="00BB18DA">
        <w:t>on such platforms as Google docs, Dropbox, etc. due to security risks and such action is considered a violation of security policy.</w:t>
      </w:r>
    </w:p>
    <w:p w14:paraId="76FC3406" w14:textId="77777777" w:rsidR="00C24A12" w:rsidRDefault="00C24A12" w:rsidP="00C24A12">
      <w:pPr>
        <w:pStyle w:val="3BULLETarial11"/>
        <w:numPr>
          <w:ilvl w:val="0"/>
          <w:numId w:val="0"/>
        </w:numPr>
        <w:ind w:left="720"/>
      </w:pPr>
    </w:p>
    <w:p w14:paraId="5BF123BD" w14:textId="483766FA" w:rsidR="00C24A12" w:rsidRPr="00842FB6" w:rsidRDefault="00C24A12" w:rsidP="00842FB6">
      <w:pPr>
        <w:pStyle w:val="4ArialBold14"/>
      </w:pPr>
      <w:bookmarkStart w:id="32" w:name="_Toc97737604"/>
      <w:r w:rsidRPr="00842FB6">
        <w:lastRenderedPageBreak/>
        <w:t>1.2.2 Conflict of Interest</w:t>
      </w:r>
      <w:bookmarkEnd w:id="32"/>
    </w:p>
    <w:p w14:paraId="0B810A68" w14:textId="77777777" w:rsidR="00E37D5C" w:rsidRDefault="00E37D5C" w:rsidP="00C24A12">
      <w:pPr>
        <w:pStyle w:val="ACDBGBODYArial11"/>
        <w:rPr>
          <w:lang w:val="en-US"/>
        </w:rPr>
      </w:pPr>
    </w:p>
    <w:p w14:paraId="4CF4E5AC" w14:textId="2D7E669E" w:rsidR="00C24A12" w:rsidRPr="00997D7D" w:rsidRDefault="006D4A92" w:rsidP="00C24A12">
      <w:pPr>
        <w:pStyle w:val="ACDBGBODYArial11"/>
        <w:rPr>
          <w:color w:val="0D0D0D" w:themeColor="text1" w:themeTint="F2"/>
          <w:lang w:val="en-US"/>
        </w:rPr>
      </w:pPr>
      <w:r>
        <w:rPr>
          <w:color w:val="0D0D0D" w:themeColor="text1" w:themeTint="F2"/>
          <w:lang w:val="en-US"/>
        </w:rPr>
        <w:t xml:space="preserve">The Grant Recipient must identify any potential conflicts of interest for the TxCDBG funded project.  </w:t>
      </w:r>
      <w:r>
        <w:rPr>
          <w:lang w:val="en-US"/>
        </w:rPr>
        <w:t xml:space="preserve"> C</w:t>
      </w:r>
      <w:proofErr w:type="spellStart"/>
      <w:r w:rsidR="00C24A12" w:rsidRPr="0028082C">
        <w:t>onflict</w:t>
      </w:r>
      <w:proofErr w:type="spellEnd"/>
      <w:r w:rsidR="00C24A12" w:rsidRPr="0028082C">
        <w:t xml:space="preserve"> of interest provisions</w:t>
      </w:r>
      <w:r w:rsidR="00C24A12">
        <w:rPr>
          <w:lang w:val="en-US"/>
        </w:rPr>
        <w:t xml:space="preserve"> apply </w:t>
      </w:r>
      <w:r w:rsidR="00C24A12" w:rsidRPr="0028082C">
        <w:t>to</w:t>
      </w:r>
    </w:p>
    <w:p w14:paraId="6A1BD36B" w14:textId="6533813B" w:rsidR="00C24A12" w:rsidRDefault="00C24A12" w:rsidP="00C24A12">
      <w:pPr>
        <w:pStyle w:val="ACDBGBODYArial11"/>
        <w:numPr>
          <w:ilvl w:val="0"/>
          <w:numId w:val="29"/>
        </w:numPr>
      </w:pPr>
      <w:r w:rsidRPr="0028082C">
        <w:t xml:space="preserve">any person or entity including any benefitting business, utility provider, or other third party entity that is receiving assistance, directly or indirectly, under a TxCDBG </w:t>
      </w:r>
      <w:r w:rsidR="00C74C3A">
        <w:rPr>
          <w:lang w:val="en-US"/>
        </w:rPr>
        <w:t>agreement</w:t>
      </w:r>
      <w:r w:rsidR="00C74C3A" w:rsidRPr="0028082C">
        <w:t xml:space="preserve"> </w:t>
      </w:r>
      <w:r w:rsidRPr="0028082C">
        <w:t>or award</w:t>
      </w:r>
      <w:r>
        <w:rPr>
          <w:lang w:val="en-US"/>
        </w:rPr>
        <w:t>;</w:t>
      </w:r>
      <w:r w:rsidRPr="0028082C">
        <w:t xml:space="preserve"> or </w:t>
      </w:r>
    </w:p>
    <w:p w14:paraId="488AAB34" w14:textId="03F1995E" w:rsidR="00C24A12" w:rsidRPr="0028082C" w:rsidRDefault="00C24A12" w:rsidP="00C24A12">
      <w:pPr>
        <w:pStyle w:val="ACDBGBODYArial11"/>
        <w:numPr>
          <w:ilvl w:val="0"/>
          <w:numId w:val="29"/>
        </w:numPr>
      </w:pPr>
      <w:r>
        <w:rPr>
          <w:lang w:val="en-US"/>
        </w:rPr>
        <w:t xml:space="preserve">any person or entity </w:t>
      </w:r>
      <w:r w:rsidRPr="0028082C">
        <w:t xml:space="preserve">that is required to complete some or all work under the TxCDBG </w:t>
      </w:r>
      <w:r w:rsidR="00C74C3A">
        <w:rPr>
          <w:lang w:val="en-US"/>
        </w:rPr>
        <w:t>agreement</w:t>
      </w:r>
      <w:r w:rsidR="00C74C3A" w:rsidRPr="0028082C">
        <w:t xml:space="preserve"> </w:t>
      </w:r>
      <w:proofErr w:type="gramStart"/>
      <w:r w:rsidRPr="0028082C">
        <w:t>in order to</w:t>
      </w:r>
      <w:proofErr w:type="gramEnd"/>
      <w:r w:rsidRPr="0028082C">
        <w:t xml:space="preserve"> meet a </w:t>
      </w:r>
      <w:r>
        <w:rPr>
          <w:lang w:val="en-US"/>
        </w:rPr>
        <w:t>n</w:t>
      </w:r>
      <w:proofErr w:type="spellStart"/>
      <w:r w:rsidRPr="0028082C">
        <w:t>ational</w:t>
      </w:r>
      <w:proofErr w:type="spellEnd"/>
      <w:r w:rsidRPr="0028082C">
        <w:t xml:space="preserve"> </w:t>
      </w:r>
      <w:r>
        <w:rPr>
          <w:lang w:val="en-US"/>
        </w:rPr>
        <w:t>p</w:t>
      </w:r>
      <w:proofErr w:type="spellStart"/>
      <w:r w:rsidRPr="0028082C">
        <w:t>rogram</w:t>
      </w:r>
      <w:proofErr w:type="spellEnd"/>
      <w:r w:rsidRPr="0028082C">
        <w:t xml:space="preserve"> </w:t>
      </w:r>
      <w:r>
        <w:rPr>
          <w:lang w:val="en-US"/>
        </w:rPr>
        <w:t>o</w:t>
      </w:r>
      <w:proofErr w:type="spellStart"/>
      <w:r w:rsidRPr="0028082C">
        <w:t>bjectiv</w:t>
      </w:r>
      <w:r>
        <w:rPr>
          <w:lang w:val="en-US"/>
        </w:rPr>
        <w:t>e</w:t>
      </w:r>
      <w:proofErr w:type="spellEnd"/>
      <w:r>
        <w:rPr>
          <w:lang w:val="en-US"/>
        </w:rPr>
        <w:t xml:space="preserve"> (NPO)</w:t>
      </w:r>
      <w:r w:rsidRPr="0028082C">
        <w:t xml:space="preserve">, that might potentially receive benefits from TxCDBG awards. </w:t>
      </w:r>
    </w:p>
    <w:p w14:paraId="0AD6C2FC" w14:textId="77777777" w:rsidR="00C24A12" w:rsidRPr="0028082C" w:rsidRDefault="00C24A12" w:rsidP="00C24A12">
      <w:pPr>
        <w:pStyle w:val="ACDBGBODYArial11"/>
      </w:pPr>
    </w:p>
    <w:p w14:paraId="6C02EFE5" w14:textId="669551F6" w:rsidR="00C24A12" w:rsidRPr="0028082C" w:rsidRDefault="006D4A92" w:rsidP="00C24A12">
      <w:pPr>
        <w:pStyle w:val="ACDBGBODYArial11"/>
      </w:pPr>
      <w:proofErr w:type="spellStart"/>
      <w:r>
        <w:rPr>
          <w:lang w:val="en-US"/>
        </w:rPr>
        <w:t>T</w:t>
      </w:r>
      <w:r w:rsidR="00C24A12" w:rsidRPr="0028082C">
        <w:t>he</w:t>
      </w:r>
      <w:proofErr w:type="spellEnd"/>
      <w:r w:rsidR="00C24A12" w:rsidRPr="0028082C">
        <w:t xml:space="preserve"> general rule is that no person/entity described above </w:t>
      </w:r>
    </w:p>
    <w:p w14:paraId="47BA26CB" w14:textId="77777777" w:rsidR="00C24A12" w:rsidRPr="007C5CCC" w:rsidRDefault="00C24A12" w:rsidP="00C24A12">
      <w:pPr>
        <w:pStyle w:val="BULLETS"/>
      </w:pPr>
      <w:r w:rsidRPr="00966814">
        <w:t>exercise</w:t>
      </w:r>
      <w:r>
        <w:t>s</w:t>
      </w:r>
      <w:r w:rsidRPr="00966814">
        <w:t xml:space="preserve"> or ha</w:t>
      </w:r>
      <w:r>
        <w:t>s</w:t>
      </w:r>
      <w:r w:rsidRPr="00966814">
        <w:t xml:space="preserve"> exercised any </w:t>
      </w:r>
      <w:r w:rsidRPr="007C5CCC">
        <w:t>functions or responsibilities with respect to</w:t>
      </w:r>
      <w:r>
        <w:t xml:space="preserve"> TxCDBG</w:t>
      </w:r>
      <w:r w:rsidRPr="007C5CCC">
        <w:t xml:space="preserve"> </w:t>
      </w:r>
      <w:proofErr w:type="gramStart"/>
      <w:r w:rsidRPr="007C5CCC">
        <w:t>activities;</w:t>
      </w:r>
      <w:proofErr w:type="gramEnd"/>
    </w:p>
    <w:p w14:paraId="4B6F044D" w14:textId="77777777" w:rsidR="00C24A12" w:rsidRPr="007C5CCC" w:rsidRDefault="00C24A12" w:rsidP="00C24A12">
      <w:pPr>
        <w:pStyle w:val="BULLETS"/>
      </w:pPr>
      <w:r>
        <w:t>is</w:t>
      </w:r>
      <w:r w:rsidRPr="007C5CCC">
        <w:t xml:space="preserve"> </w:t>
      </w:r>
      <w:proofErr w:type="gramStart"/>
      <w:r w:rsidRPr="007C5CCC">
        <w:t>in a position</w:t>
      </w:r>
      <w:proofErr w:type="gramEnd"/>
      <w:r w:rsidRPr="007C5CCC">
        <w:t xml:space="preserve"> to participate in a decision-making process; </w:t>
      </w:r>
      <w:r w:rsidRPr="002959EF">
        <w:t>or</w:t>
      </w:r>
      <w:r>
        <w:t xml:space="preserve"> </w:t>
      </w:r>
    </w:p>
    <w:p w14:paraId="7D04CD8B" w14:textId="1569ADD3" w:rsidR="00C24A12" w:rsidRDefault="00C24A12" w:rsidP="00C24A12">
      <w:pPr>
        <w:pStyle w:val="BULLETS"/>
      </w:pPr>
      <w:r>
        <w:t>is</w:t>
      </w:r>
      <w:r w:rsidRPr="007C5CCC">
        <w:t xml:space="preserve"> </w:t>
      </w:r>
      <w:proofErr w:type="gramStart"/>
      <w:r w:rsidRPr="007C5CCC">
        <w:t>in a position</w:t>
      </w:r>
      <w:proofErr w:type="gramEnd"/>
      <w:r w:rsidRPr="007C5CCC">
        <w:t xml:space="preserve"> to gain inside information with regard to such activities may</w:t>
      </w:r>
      <w:r>
        <w:t xml:space="preserve"> </w:t>
      </w:r>
      <w:r w:rsidRPr="0028082C">
        <w:t>obtain a financial interest or benefit</w:t>
      </w:r>
      <w:r w:rsidRPr="007C5CCC">
        <w:t xml:space="preserve"> from a </w:t>
      </w:r>
      <w:r>
        <w:t>Tx</w:t>
      </w:r>
      <w:r w:rsidRPr="007C5CCC">
        <w:t>CDBG-assisted</w:t>
      </w:r>
      <w:r w:rsidRPr="00966814">
        <w:t xml:space="preserve"> activity, or have a financial interest in any </w:t>
      </w:r>
      <w:r w:rsidR="00F564E3" w:rsidRPr="00B56F73">
        <w:t>contract</w:t>
      </w:r>
      <w:r w:rsidRPr="00966814">
        <w:t>, subcontract, or agreement with respect to a</w:t>
      </w:r>
      <w:r>
        <w:t xml:space="preserve"> TxCDBG</w:t>
      </w:r>
      <w:r w:rsidRPr="00966814">
        <w:t xml:space="preserve">-assisted activity, or with respect to the proceeds of the </w:t>
      </w:r>
      <w:r>
        <w:t>Tx</w:t>
      </w:r>
      <w:r w:rsidRPr="00966814">
        <w:t xml:space="preserve">CDBG-assisted activity, either for themselves or those with who they have family or business ties, during their tenure or for one year thereafter. </w:t>
      </w:r>
    </w:p>
    <w:p w14:paraId="1DDAFCD2" w14:textId="7521B8F6" w:rsidR="00FE1FDF" w:rsidRDefault="00FE1FDF" w:rsidP="00FE1FDF">
      <w:pPr>
        <w:pStyle w:val="BULLETS"/>
        <w:numPr>
          <w:ilvl w:val="0"/>
          <w:numId w:val="0"/>
        </w:numPr>
        <w:ind w:left="720" w:hanging="360"/>
      </w:pPr>
    </w:p>
    <w:p w14:paraId="059C282B" w14:textId="77777777" w:rsidR="00FE1FDF" w:rsidRPr="00966814" w:rsidRDefault="00FE1FDF" w:rsidP="00FE1FDF">
      <w:pPr>
        <w:pStyle w:val="ACDBGBODYArial11"/>
      </w:pPr>
      <w:r w:rsidRPr="00966814">
        <w:t>TDA will evaluate persons in similar roles for benefitting organizations, such as utilities providing service through the project or businesses creating jobs as a result of the project, in determining a conflict of interest.</w:t>
      </w:r>
      <w:r>
        <w:t xml:space="preserve"> </w:t>
      </w:r>
      <w:r w:rsidRPr="00966814">
        <w:t>The person may not have an interest in any contract or agreement related to the</w:t>
      </w:r>
      <w:r>
        <w:rPr>
          <w:lang w:val="en-US"/>
        </w:rPr>
        <w:t xml:space="preserve"> </w:t>
      </w:r>
      <w:r>
        <w:t>TxCDBG</w:t>
      </w:r>
      <w:r w:rsidRPr="00966814">
        <w:t xml:space="preserve"> proceeds/program for themselves or their family/business ties during their tenure or one year after conclusion of their tenure.</w:t>
      </w:r>
    </w:p>
    <w:p w14:paraId="29C1A9CF" w14:textId="77777777" w:rsidR="00FE1FDF" w:rsidRDefault="00FE1FDF" w:rsidP="00FE1FDF">
      <w:pPr>
        <w:pStyle w:val="BULLETS"/>
        <w:numPr>
          <w:ilvl w:val="0"/>
          <w:numId w:val="0"/>
        </w:numPr>
        <w:ind w:left="720" w:hanging="360"/>
      </w:pPr>
    </w:p>
    <w:p w14:paraId="42E7C963" w14:textId="639A7C64" w:rsidR="006D4A92" w:rsidRPr="006D4A92" w:rsidRDefault="006D4A92" w:rsidP="006D4A92">
      <w:pPr>
        <w:pStyle w:val="BULLETS"/>
        <w:numPr>
          <w:ilvl w:val="0"/>
          <w:numId w:val="0"/>
        </w:numPr>
      </w:pPr>
      <w:r>
        <w:t xml:space="preserve">Any conflict of interest </w:t>
      </w:r>
      <w:r w:rsidR="00FE1FDF">
        <w:t xml:space="preserve">or apparent conflict of interest </w:t>
      </w:r>
      <w:r>
        <w:rPr>
          <w:b/>
          <w:bCs/>
        </w:rPr>
        <w:t>must</w:t>
      </w:r>
      <w:r>
        <w:t xml:space="preserve"> be disclosed to TDA in writing as soon as it is known.</w:t>
      </w:r>
      <w:r w:rsidR="00FE1FDF">
        <w:t xml:space="preserve"> TDA</w:t>
      </w:r>
      <w:r w:rsidR="006B6537">
        <w:t>,</w:t>
      </w:r>
      <w:r w:rsidR="00FE1FDF">
        <w:t xml:space="preserve"> in its sole discretion</w:t>
      </w:r>
      <w:r w:rsidR="006B6537">
        <w:t>,</w:t>
      </w:r>
      <w:r w:rsidR="00FE1FDF">
        <w:t xml:space="preserve"> will determine whether the situation meets the program definition for a conflict of interest.</w:t>
      </w:r>
    </w:p>
    <w:p w14:paraId="78F6B7F0" w14:textId="77777777" w:rsidR="00A7345A" w:rsidRPr="00966814" w:rsidRDefault="00A7345A" w:rsidP="00A7345A">
      <w:pPr>
        <w:pStyle w:val="BULLETS"/>
        <w:numPr>
          <w:ilvl w:val="0"/>
          <w:numId w:val="0"/>
        </w:numPr>
        <w:ind w:left="720"/>
      </w:pPr>
    </w:p>
    <w:p w14:paraId="2277E43E" w14:textId="59842275" w:rsidR="00C24A12" w:rsidRPr="00966814" w:rsidRDefault="00C24A12" w:rsidP="00C24A12">
      <w:pPr>
        <w:pStyle w:val="ACDBGBODYArial11"/>
        <w:rPr>
          <w:rFonts w:eastAsia="Calibri"/>
        </w:rPr>
      </w:pPr>
      <w:r w:rsidRPr="0028082C">
        <w:rPr>
          <w:rFonts w:eastAsia="Calibri"/>
          <w:b/>
          <w:bCs/>
          <w:lang w:val="en-US"/>
        </w:rPr>
        <w:t>EXAMPLE</w:t>
      </w:r>
      <w:r w:rsidRPr="00966814">
        <w:rPr>
          <w:rFonts w:eastAsia="Calibri"/>
        </w:rPr>
        <w:t>: Central City, Texas applied for TxCDBG funds for a first-time sewer project in the West Addition neighborhood. One of the residents included in the project is the mother-in-law of City Council member Bob Thompson. Councilman Thompson does not have a financial interest in the project; however there is a conflict of interest due to the</w:t>
      </w:r>
      <w:r>
        <w:rPr>
          <w:rFonts w:eastAsia="Calibri"/>
          <w:lang w:val="en-US"/>
        </w:rPr>
        <w:t xml:space="preserve"> </w:t>
      </w:r>
      <w:r>
        <w:rPr>
          <w:rFonts w:eastAsia="Calibri"/>
        </w:rPr>
        <w:t>TxCDBG</w:t>
      </w:r>
      <w:r w:rsidRPr="00966814">
        <w:rPr>
          <w:rFonts w:eastAsia="Calibri"/>
        </w:rPr>
        <w:t>-funded benefit to be provided to his family member.</w:t>
      </w:r>
    </w:p>
    <w:p w14:paraId="6D4702A9" w14:textId="77777777" w:rsidR="00C24A12" w:rsidRDefault="00C24A12" w:rsidP="00C24A12"/>
    <w:p w14:paraId="583DFDA3" w14:textId="08FCE30C" w:rsidR="00C24A12" w:rsidRDefault="00C24A12" w:rsidP="00C24A12">
      <w:pPr>
        <w:pStyle w:val="ACDBGBODYArial11"/>
      </w:pPr>
      <w:r w:rsidRPr="00966814">
        <w:rPr>
          <w:b/>
        </w:rPr>
        <w:t xml:space="preserve">Exception to </w:t>
      </w:r>
      <w:r>
        <w:rPr>
          <w:b/>
          <w:lang w:val="en-US"/>
        </w:rPr>
        <w:t>C</w:t>
      </w:r>
      <w:proofErr w:type="spellStart"/>
      <w:r w:rsidRPr="00966814">
        <w:rPr>
          <w:b/>
        </w:rPr>
        <w:t>onflict</w:t>
      </w:r>
      <w:r w:rsidR="00D25FFA">
        <w:rPr>
          <w:b/>
          <w:lang w:val="en-US"/>
        </w:rPr>
        <w:t>s</w:t>
      </w:r>
      <w:proofErr w:type="spellEnd"/>
      <w:r w:rsidRPr="00966814">
        <w:rPr>
          <w:b/>
        </w:rPr>
        <w:t xml:space="preserve"> of </w:t>
      </w:r>
      <w:r>
        <w:rPr>
          <w:b/>
          <w:lang w:val="en-US"/>
        </w:rPr>
        <w:t>I</w:t>
      </w:r>
      <w:proofErr w:type="spellStart"/>
      <w:r w:rsidRPr="00966814">
        <w:rPr>
          <w:b/>
        </w:rPr>
        <w:t>nterest</w:t>
      </w:r>
      <w:proofErr w:type="spellEnd"/>
    </w:p>
    <w:p w14:paraId="5D3833F3" w14:textId="631F22A9" w:rsidR="00C24A12" w:rsidRDefault="00C24A12" w:rsidP="00C24A12">
      <w:pPr>
        <w:pStyle w:val="ACDBGBODYArial11"/>
      </w:pPr>
      <w:r w:rsidRPr="0028082C">
        <w:t>TDA may grant an exception</w:t>
      </w:r>
      <w:r>
        <w:rPr>
          <w:lang w:val="en-US"/>
        </w:rPr>
        <w:t xml:space="preserve"> </w:t>
      </w:r>
      <w:r w:rsidRPr="0028082C">
        <w:t xml:space="preserve">to the </w:t>
      </w:r>
      <w:r w:rsidR="006D4A92">
        <w:rPr>
          <w:lang w:val="en-US"/>
        </w:rPr>
        <w:t xml:space="preserve">restrictions on </w:t>
      </w:r>
      <w:r w:rsidRPr="0028082C">
        <w:t>non-procurement conflict</w:t>
      </w:r>
      <w:r w:rsidR="006D4A92">
        <w:rPr>
          <w:lang w:val="en-US"/>
        </w:rPr>
        <w:t>s</w:t>
      </w:r>
      <w:r w:rsidRPr="0028082C">
        <w:t xml:space="preserve"> of interest on a case-by-case basis if TDA determines that such exception will serve to further the purpose of the TxCDBG project and the effective and efficient a</w:t>
      </w:r>
      <w:r>
        <w:t>dministrative</w:t>
      </w:r>
      <w:r w:rsidRPr="0028082C">
        <w:t xml:space="preserve"> of the project.</w:t>
      </w:r>
      <w:r>
        <w:rPr>
          <w:lang w:val="en-US"/>
        </w:rPr>
        <w:t xml:space="preserve"> </w:t>
      </w:r>
      <w:r w:rsidRPr="0028082C">
        <w:t xml:space="preserve">The written request must address all elements identified in 24 CFR </w:t>
      </w:r>
      <w:r w:rsidRPr="00065EFC">
        <w:rPr>
          <w:lang w:val="en-US"/>
        </w:rPr>
        <w:t>§</w:t>
      </w:r>
      <w:r w:rsidRPr="0028082C">
        <w:t>570.489(h)(4).</w:t>
      </w:r>
    </w:p>
    <w:p w14:paraId="5F0B4008" w14:textId="77777777" w:rsidR="006D4A92" w:rsidRDefault="006D4A92" w:rsidP="00C24A12">
      <w:pPr>
        <w:pStyle w:val="ACDBGBODYArial11"/>
      </w:pPr>
    </w:p>
    <w:p w14:paraId="15923E97" w14:textId="77777777" w:rsidR="006D4A92" w:rsidRPr="00A7345A" w:rsidRDefault="006D4A92" w:rsidP="006D4A92">
      <w:pPr>
        <w:pStyle w:val="ACDBGBODYArial11"/>
        <w:rPr>
          <w:b/>
          <w:bCs/>
          <w:color w:val="0D0D0D" w:themeColor="text1" w:themeTint="F2"/>
          <w:lang w:val="en-US"/>
        </w:rPr>
      </w:pPr>
      <w:r w:rsidRPr="00A7345A">
        <w:rPr>
          <w:b/>
          <w:bCs/>
          <w:color w:val="0D0D0D" w:themeColor="text1" w:themeTint="F2"/>
          <w:lang w:val="en-US"/>
        </w:rPr>
        <w:t xml:space="preserve">Under no circumstances can TDA provide a waiver or exception for </w:t>
      </w:r>
      <w:r>
        <w:rPr>
          <w:b/>
          <w:bCs/>
          <w:color w:val="0D0D0D" w:themeColor="text1" w:themeTint="F2"/>
          <w:lang w:val="en-US"/>
        </w:rPr>
        <w:t>conflicts of interest</w:t>
      </w:r>
      <w:r w:rsidRPr="00A7345A">
        <w:rPr>
          <w:b/>
          <w:bCs/>
          <w:color w:val="0D0D0D" w:themeColor="text1" w:themeTint="F2"/>
          <w:lang w:val="en-US"/>
        </w:rPr>
        <w:t xml:space="preserve"> related to procurement of goods or services.</w:t>
      </w:r>
    </w:p>
    <w:p w14:paraId="44118B85" w14:textId="702239D1" w:rsidR="00C24A12" w:rsidRDefault="00C24A12" w:rsidP="00C24A12">
      <w:pPr>
        <w:pStyle w:val="ACDBGBODYArial11"/>
      </w:pPr>
    </w:p>
    <w:p w14:paraId="046A9B95" w14:textId="4EBECC18" w:rsidR="00C24A12" w:rsidRPr="00C24A12" w:rsidRDefault="00C24A12" w:rsidP="00C24A12">
      <w:pPr>
        <w:pStyle w:val="ACDBGBODYArial11"/>
      </w:pPr>
      <w:r w:rsidRPr="00C24A12">
        <w:rPr>
          <w:b/>
          <w:bCs/>
          <w:lang w:val="en-US"/>
        </w:rPr>
        <w:t>EXAMPLE:</w:t>
      </w:r>
      <w:r>
        <w:rPr>
          <w:lang w:val="en-US"/>
        </w:rPr>
        <w:t xml:space="preserve"> A</w:t>
      </w:r>
      <w:r w:rsidRPr="00C24A12">
        <w:t xml:space="preserve"> mayor pro-</w:t>
      </w:r>
      <w:proofErr w:type="spellStart"/>
      <w:r w:rsidRPr="00C24A12">
        <w:t>tem</w:t>
      </w:r>
      <w:proofErr w:type="spellEnd"/>
      <w:r w:rsidRPr="00C24A12">
        <w:t xml:space="preserve"> of a city is willing to sell the </w:t>
      </w:r>
      <w:r w:rsidR="002B4BC5">
        <w:rPr>
          <w:lang w:val="en-US"/>
        </w:rPr>
        <w:t>c</w:t>
      </w:r>
      <w:proofErr w:type="spellStart"/>
      <w:r w:rsidRPr="00C24A12">
        <w:t>ity</w:t>
      </w:r>
      <w:proofErr w:type="spellEnd"/>
      <w:r w:rsidRPr="00C24A12">
        <w:t xml:space="preserve"> a parcel of property on </w:t>
      </w:r>
      <w:r w:rsidR="002B4BC5">
        <w:rPr>
          <w:lang w:val="en-US"/>
        </w:rPr>
        <w:t>m</w:t>
      </w:r>
      <w:proofErr w:type="spellStart"/>
      <w:r w:rsidRPr="00C24A12">
        <w:t>ain</w:t>
      </w:r>
      <w:proofErr w:type="spellEnd"/>
      <w:r w:rsidRPr="00C24A12">
        <w:t xml:space="preserve"> </w:t>
      </w:r>
      <w:r w:rsidR="002B4BC5">
        <w:rPr>
          <w:lang w:val="en-US"/>
        </w:rPr>
        <w:t>s</w:t>
      </w:r>
      <w:proofErr w:type="spellStart"/>
      <w:r w:rsidRPr="00C24A12">
        <w:t>treet</w:t>
      </w:r>
      <w:proofErr w:type="spellEnd"/>
      <w:r w:rsidRPr="00C24A12">
        <w:t xml:space="preserve"> which would be the ideal location for a proposed senior community center. This transaction would involve the acquisition of real property and is </w:t>
      </w:r>
      <w:r w:rsidRPr="00C24A12">
        <w:rPr>
          <w:i/>
          <w:iCs/>
        </w:rPr>
        <w:t>not</w:t>
      </w:r>
      <w:r w:rsidRPr="00C24A12">
        <w:t xml:space="preserve"> considered procurement of goods or services. Therefore, the city could ask TDA to grant an exception to the apparent conflict of interest.</w:t>
      </w:r>
    </w:p>
    <w:p w14:paraId="502DD408" w14:textId="416688DA" w:rsidR="00C24A12" w:rsidRDefault="00C24A12" w:rsidP="00C24A12"/>
    <w:p w14:paraId="092C202F" w14:textId="6BA77B0A" w:rsidR="00C24A12" w:rsidRPr="0028082C" w:rsidRDefault="00C24A12" w:rsidP="00C24A12">
      <w:pPr>
        <w:autoSpaceDE w:val="0"/>
        <w:autoSpaceDN w:val="0"/>
        <w:adjustRightInd w:val="0"/>
        <w:rPr>
          <w:rFonts w:ascii="Arial" w:hAnsi="Arial" w:cs="Arial"/>
          <w:b/>
          <w:sz w:val="22"/>
          <w:szCs w:val="22"/>
        </w:rPr>
      </w:pPr>
      <w:r w:rsidRPr="00966814">
        <w:rPr>
          <w:rFonts w:ascii="Arial" w:hAnsi="Arial" w:cs="Arial"/>
          <w:b/>
          <w:sz w:val="22"/>
          <w:szCs w:val="22"/>
        </w:rPr>
        <w:t xml:space="preserve">Some </w:t>
      </w:r>
      <w:r>
        <w:rPr>
          <w:rFonts w:ascii="Arial" w:hAnsi="Arial" w:cs="Arial"/>
          <w:b/>
          <w:sz w:val="22"/>
          <w:szCs w:val="22"/>
        </w:rPr>
        <w:t>D</w:t>
      </w:r>
      <w:r w:rsidRPr="00966814">
        <w:rPr>
          <w:rFonts w:ascii="Arial" w:hAnsi="Arial" w:cs="Arial"/>
          <w:b/>
          <w:sz w:val="22"/>
          <w:szCs w:val="22"/>
        </w:rPr>
        <w:t xml:space="preserve">eterminations of </w:t>
      </w:r>
      <w:r>
        <w:rPr>
          <w:rFonts w:ascii="Arial" w:hAnsi="Arial" w:cs="Arial"/>
          <w:b/>
          <w:sz w:val="22"/>
          <w:szCs w:val="22"/>
        </w:rPr>
        <w:t>C</w:t>
      </w:r>
      <w:r w:rsidRPr="00966814">
        <w:rPr>
          <w:rFonts w:ascii="Arial" w:hAnsi="Arial" w:cs="Arial"/>
          <w:b/>
          <w:sz w:val="22"/>
          <w:szCs w:val="22"/>
        </w:rPr>
        <w:t xml:space="preserve">onflicts of </w:t>
      </w:r>
      <w:r>
        <w:rPr>
          <w:rFonts w:ascii="Arial" w:hAnsi="Arial" w:cs="Arial"/>
          <w:b/>
          <w:sz w:val="22"/>
          <w:szCs w:val="22"/>
        </w:rPr>
        <w:t>I</w:t>
      </w:r>
      <w:r w:rsidRPr="00966814">
        <w:rPr>
          <w:rFonts w:ascii="Arial" w:hAnsi="Arial" w:cs="Arial"/>
          <w:b/>
          <w:sz w:val="22"/>
          <w:szCs w:val="22"/>
        </w:rPr>
        <w:t>nterest:</w:t>
      </w:r>
    </w:p>
    <w:p w14:paraId="7CDB666A" w14:textId="2B1F6BCB" w:rsidR="00C24A12" w:rsidRPr="00966814" w:rsidRDefault="00C24A12" w:rsidP="00C24A12">
      <w:pPr>
        <w:pStyle w:val="BULLETS"/>
      </w:pPr>
      <w:r w:rsidRPr="00966814">
        <w:t>Grantee officials or staff who have relatives who may benefit from a sub</w:t>
      </w:r>
      <w:r>
        <w:t>-applicant</w:t>
      </w:r>
      <w:r w:rsidRPr="00966814">
        <w:t>’s programmatic activities</w:t>
      </w:r>
      <w:r>
        <w:t>.</w:t>
      </w:r>
    </w:p>
    <w:p w14:paraId="07F4EB52" w14:textId="329BA255" w:rsidR="00C24A12" w:rsidRDefault="00C24A12" w:rsidP="00C24A12">
      <w:pPr>
        <w:pStyle w:val="BULLETS"/>
      </w:pPr>
      <w:r w:rsidRPr="00966814">
        <w:t xml:space="preserve">Elected officials voting on awarding of </w:t>
      </w:r>
      <w:r w:rsidR="00FE1FDF">
        <w:t>contracts</w:t>
      </w:r>
      <w:r w:rsidR="00FE1FDF" w:rsidRPr="00966814">
        <w:t xml:space="preserve"> </w:t>
      </w:r>
      <w:r w:rsidRPr="00966814">
        <w:t xml:space="preserve">to </w:t>
      </w:r>
      <w:r w:rsidR="00FE1FDF">
        <w:t>vendors</w:t>
      </w:r>
      <w:r w:rsidR="00FE1FDF" w:rsidRPr="00966814">
        <w:t xml:space="preserve"> </w:t>
      </w:r>
      <w:r w:rsidRPr="00966814">
        <w:t>where a family member is on the staff</w:t>
      </w:r>
      <w:r>
        <w:t>.</w:t>
      </w:r>
    </w:p>
    <w:p w14:paraId="230E05CA" w14:textId="1060649D" w:rsidR="00FE1FDF" w:rsidRDefault="00FE1FDF" w:rsidP="00C24A12">
      <w:pPr>
        <w:pStyle w:val="BULLETS"/>
      </w:pPr>
      <w:r>
        <w:t>Selection of a single individual or firm to serve as both the grant administrator and the project engineer.</w:t>
      </w:r>
    </w:p>
    <w:p w14:paraId="5D0089A4" w14:textId="0E5D5501" w:rsidR="00FE1FDF" w:rsidRPr="00966814" w:rsidRDefault="00FE1FDF" w:rsidP="00C24A12">
      <w:pPr>
        <w:pStyle w:val="BULLETS"/>
      </w:pPr>
      <w:r>
        <w:t>Selection of an individual or firm to provide administrative or engineering services, where the individual or firm has previously assisted in preparing the grant application.</w:t>
      </w:r>
    </w:p>
    <w:p w14:paraId="280827F1" w14:textId="36AABD25" w:rsidR="00C24A12" w:rsidRDefault="00C24A12" w:rsidP="00C24A12">
      <w:pPr>
        <w:pStyle w:val="3BULLETarial11"/>
        <w:numPr>
          <w:ilvl w:val="0"/>
          <w:numId w:val="0"/>
        </w:numPr>
        <w:ind w:left="720" w:hanging="360"/>
      </w:pPr>
    </w:p>
    <w:p w14:paraId="195E54A5" w14:textId="1C4EBAC7" w:rsidR="00793711" w:rsidRPr="00793711" w:rsidRDefault="00793711" w:rsidP="00793711">
      <w:pPr>
        <w:pStyle w:val="ACDBGBODYArial11"/>
        <w:rPr>
          <w:b/>
          <w:bCs/>
          <w:lang w:val="en-US"/>
        </w:rPr>
      </w:pPr>
      <w:r w:rsidRPr="00793711">
        <w:rPr>
          <w:b/>
          <w:bCs/>
          <w:lang w:val="en-US"/>
        </w:rPr>
        <w:t>Code of Conduct</w:t>
      </w:r>
    </w:p>
    <w:p w14:paraId="622F09E8" w14:textId="536B35D8" w:rsidR="00793711" w:rsidRPr="00235002" w:rsidRDefault="00793711" w:rsidP="00793711">
      <w:pPr>
        <w:pStyle w:val="ACDBGBODYArial11"/>
      </w:pPr>
      <w:r w:rsidRPr="00073335">
        <w:t xml:space="preserve">Every Grant </w:t>
      </w:r>
      <w:r w:rsidRPr="00073335">
        <w:rPr>
          <w:lang w:val="en-US"/>
        </w:rPr>
        <w:t>Recipient</w:t>
      </w:r>
      <w:r w:rsidRPr="00073335">
        <w:t xml:space="preserve"> must maintain written standards of conduct covering conflicts of interest and governing the actions of its employees engaged in the selection, award and administrati</w:t>
      </w:r>
      <w:r w:rsidR="006E44C2">
        <w:rPr>
          <w:lang w:val="en-US"/>
        </w:rPr>
        <w:t>on</w:t>
      </w:r>
      <w:r w:rsidRPr="00073335">
        <w:t xml:space="preserve"> of </w:t>
      </w:r>
      <w:r w:rsidR="00F564E3" w:rsidRPr="00B56F73">
        <w:t>contract</w:t>
      </w:r>
      <w:r w:rsidR="00F564E3">
        <w:rPr>
          <w:lang w:val="en-US"/>
        </w:rPr>
        <w:t>s</w:t>
      </w:r>
      <w:r w:rsidRPr="00073335">
        <w:rPr>
          <w:lang w:val="en-US"/>
        </w:rPr>
        <w:t xml:space="preserve">. </w:t>
      </w:r>
      <w:r w:rsidRPr="00073335">
        <w:t xml:space="preserve">See </w:t>
      </w:r>
      <w:r w:rsidRPr="00073335">
        <w:rPr>
          <w:i/>
          <w:iCs/>
        </w:rPr>
        <w:t>Sample Code of Conduct</w:t>
      </w:r>
      <w:r w:rsidRPr="00073335">
        <w:t xml:space="preserve"> in </w:t>
      </w:r>
      <w:r w:rsidRPr="002B4BC5">
        <w:rPr>
          <w:i/>
          <w:iCs/>
        </w:rPr>
        <w:t>Appendix C</w:t>
      </w:r>
      <w:r w:rsidRPr="00073335">
        <w:t xml:space="preserve">. The standards of conduct must provide for disciplinary actions to be applied for violations of such standards by officers, employees, or agents of the Grant </w:t>
      </w:r>
      <w:r w:rsidRPr="00073335">
        <w:rPr>
          <w:lang w:val="en-US"/>
        </w:rPr>
        <w:t>Recipient</w:t>
      </w:r>
      <w:r w:rsidRPr="00073335">
        <w:t xml:space="preserve">. The Grant </w:t>
      </w:r>
      <w:r w:rsidRPr="00073335">
        <w:rPr>
          <w:lang w:val="en-US"/>
        </w:rPr>
        <w:t>Recipient</w:t>
      </w:r>
      <w:r w:rsidRPr="00073335">
        <w:t xml:space="preserve"> may choose to broaden local conflict of interest policies to additional family members and relatives.</w:t>
      </w:r>
      <w:r w:rsidRPr="0028082C">
        <w:t xml:space="preserve"> </w:t>
      </w:r>
    </w:p>
    <w:p w14:paraId="4F26FA80" w14:textId="42721CCA" w:rsidR="00793711" w:rsidRDefault="00793711" w:rsidP="00C24A12">
      <w:pPr>
        <w:pStyle w:val="3BULLETarial11"/>
        <w:numPr>
          <w:ilvl w:val="0"/>
          <w:numId w:val="0"/>
        </w:numPr>
        <w:ind w:left="720" w:hanging="360"/>
      </w:pPr>
    </w:p>
    <w:p w14:paraId="2EC75291" w14:textId="77777777" w:rsidR="004B2E31" w:rsidRDefault="004B2E31" w:rsidP="00C24A12">
      <w:pPr>
        <w:pStyle w:val="3BULLETarial11"/>
        <w:numPr>
          <w:ilvl w:val="0"/>
          <w:numId w:val="0"/>
        </w:numPr>
        <w:ind w:left="720" w:hanging="360"/>
      </w:pPr>
    </w:p>
    <w:p w14:paraId="5FEBFF29" w14:textId="77777777" w:rsidR="000E030B" w:rsidRDefault="000E030B" w:rsidP="00504309">
      <w:pPr>
        <w:pStyle w:val="4ArialBold14"/>
      </w:pPr>
      <w:bookmarkStart w:id="33" w:name="_Toc97737605"/>
      <w:bookmarkEnd w:id="21"/>
      <w:bookmarkEnd w:id="22"/>
      <w:bookmarkEnd w:id="23"/>
      <w:r>
        <w:t xml:space="preserve">1.2.3 </w:t>
      </w:r>
      <w:r w:rsidRPr="00793711">
        <w:t xml:space="preserve">Grant Overview </w:t>
      </w:r>
      <w:r w:rsidRPr="00504309">
        <w:t>Information</w:t>
      </w:r>
      <w:bookmarkEnd w:id="33"/>
    </w:p>
    <w:p w14:paraId="1428633B" w14:textId="6810A326" w:rsidR="000E030B" w:rsidRDefault="000E030B" w:rsidP="000E030B">
      <w:pPr>
        <w:pStyle w:val="1BODY-Arial11"/>
      </w:pPr>
    </w:p>
    <w:p w14:paraId="614FCB7C" w14:textId="5942F4F3" w:rsidR="00C616DC" w:rsidRDefault="00C616DC" w:rsidP="000E030B">
      <w:pPr>
        <w:pStyle w:val="1BODY-Arial11"/>
      </w:pPr>
      <w:r>
        <w:t xml:space="preserve">Each Grant Recipient must update information for the TDA-GO Grant Overview </w:t>
      </w:r>
      <w:r w:rsidR="006B6537">
        <w:t xml:space="preserve">page </w:t>
      </w:r>
      <w:r>
        <w:t>as appropriate.</w:t>
      </w:r>
      <w:r w:rsidR="006B6537">
        <w:t xml:space="preserve"> See Figure 3, page 6 of this chapter.</w:t>
      </w:r>
    </w:p>
    <w:p w14:paraId="49337B1F" w14:textId="77777777" w:rsidR="00FE1FDF" w:rsidRDefault="00FE1FDF" w:rsidP="000E030B">
      <w:pPr>
        <w:pStyle w:val="1BODY-Arial11"/>
      </w:pPr>
    </w:p>
    <w:p w14:paraId="6CB7AF73" w14:textId="3ACB3B0F" w:rsidR="00C616DC" w:rsidRPr="002B4BC5" w:rsidRDefault="00C616DC" w:rsidP="00C616DC">
      <w:pPr>
        <w:pStyle w:val="BULLETS"/>
        <w:rPr>
          <w:b/>
          <w:bCs/>
        </w:rPr>
      </w:pPr>
      <w:r w:rsidRPr="002B4BC5">
        <w:rPr>
          <w:b/>
          <w:bCs/>
        </w:rPr>
        <w:t>Assignment of Responsibilities</w:t>
      </w:r>
    </w:p>
    <w:p w14:paraId="526A7C1F" w14:textId="40F1A6B7" w:rsidR="00C616DC" w:rsidRDefault="00C616DC" w:rsidP="00930652">
      <w:pPr>
        <w:pStyle w:val="BULLETS"/>
        <w:numPr>
          <w:ilvl w:val="1"/>
          <w:numId w:val="28"/>
        </w:numPr>
        <w:ind w:left="1080"/>
      </w:pPr>
      <w:r>
        <w:t>Primary Administrative Contact</w:t>
      </w:r>
      <w:r w:rsidR="00930652">
        <w:t xml:space="preserve"> – L</w:t>
      </w:r>
      <w:r>
        <w:t xml:space="preserve">ocal contact or consultant </w:t>
      </w:r>
      <w:r w:rsidR="006B6537">
        <w:t xml:space="preserve">who </w:t>
      </w:r>
      <w:r>
        <w:t xml:space="preserve">should be contacted for status updates, clarifications, etc.  </w:t>
      </w:r>
    </w:p>
    <w:p w14:paraId="6E7B1BED" w14:textId="33150697" w:rsidR="00C616DC" w:rsidRDefault="00C616DC" w:rsidP="00930652">
      <w:pPr>
        <w:pStyle w:val="BULLETS"/>
        <w:numPr>
          <w:ilvl w:val="1"/>
          <w:numId w:val="28"/>
        </w:numPr>
        <w:ind w:left="1080"/>
      </w:pPr>
      <w:r>
        <w:t>Labor Standards Officer</w:t>
      </w:r>
      <w:r w:rsidR="00930652">
        <w:t xml:space="preserve"> – L</w:t>
      </w:r>
      <w:r>
        <w:t xml:space="preserve">ocal contact or consultant </w:t>
      </w:r>
      <w:r w:rsidRPr="00C616DC">
        <w:t xml:space="preserve">responsible for overseeing the labor standards portion of the </w:t>
      </w:r>
      <w:r>
        <w:t>grant.  This entry must be made by the Authorized Official.</w:t>
      </w:r>
    </w:p>
    <w:p w14:paraId="69E52D79" w14:textId="55758D94" w:rsidR="00C616DC" w:rsidRDefault="00C616DC" w:rsidP="00930652">
      <w:pPr>
        <w:pStyle w:val="BULLETS"/>
        <w:numPr>
          <w:ilvl w:val="1"/>
          <w:numId w:val="28"/>
        </w:numPr>
        <w:ind w:left="1080"/>
      </w:pPr>
      <w:r>
        <w:t>Civil Rights Officer</w:t>
      </w:r>
      <w:r w:rsidR="00930652">
        <w:t xml:space="preserve"> – L</w:t>
      </w:r>
      <w:r>
        <w:t>ocal contact r</w:t>
      </w:r>
      <w:r w:rsidRPr="00C616DC">
        <w:t>esponsible for oversight and compliance of fair housing and equal opportunity activities</w:t>
      </w:r>
      <w:r>
        <w:t>. This entry must be made by the Authorized Official.</w:t>
      </w:r>
    </w:p>
    <w:p w14:paraId="23C944E3" w14:textId="45BFCEA7" w:rsidR="00C616DC" w:rsidRDefault="00C616DC" w:rsidP="00C616DC">
      <w:pPr>
        <w:pStyle w:val="BULLETS"/>
        <w:numPr>
          <w:ilvl w:val="0"/>
          <w:numId w:val="0"/>
        </w:numPr>
      </w:pPr>
    </w:p>
    <w:p w14:paraId="6A67BD66" w14:textId="76EB79E2" w:rsidR="00C616DC" w:rsidRDefault="00C616DC" w:rsidP="00C616DC">
      <w:pPr>
        <w:pStyle w:val="BULLETS"/>
      </w:pPr>
      <w:r w:rsidRPr="002B4BC5">
        <w:rPr>
          <w:b/>
          <w:bCs/>
        </w:rPr>
        <w:t>Agreement Special Conditions</w:t>
      </w:r>
      <w:r w:rsidR="00930652">
        <w:t xml:space="preserve"> – </w:t>
      </w:r>
      <w:r>
        <w:t xml:space="preserve">Documentation demonstrating compliance with each condition must be uploaded </w:t>
      </w:r>
      <w:r w:rsidR="006B6537">
        <w:t>when</w:t>
      </w:r>
      <w:r>
        <w:t xml:space="preserve"> the condition is satisfied.</w:t>
      </w:r>
    </w:p>
    <w:p w14:paraId="491B02B5" w14:textId="77777777" w:rsidR="00B53F82" w:rsidRDefault="00B53F82" w:rsidP="00B53F82">
      <w:pPr>
        <w:pStyle w:val="BULLETS"/>
        <w:numPr>
          <w:ilvl w:val="0"/>
          <w:numId w:val="0"/>
        </w:numPr>
        <w:ind w:left="720"/>
      </w:pPr>
    </w:p>
    <w:p w14:paraId="0407D257" w14:textId="3F520BB9" w:rsidR="00C616DC" w:rsidRDefault="00C616DC" w:rsidP="00C616DC">
      <w:pPr>
        <w:pStyle w:val="BULLETS"/>
      </w:pPr>
      <w:r w:rsidRPr="002B4BC5">
        <w:rPr>
          <w:b/>
          <w:bCs/>
        </w:rPr>
        <w:t>Force Account</w:t>
      </w:r>
      <w:r w:rsidR="00930652">
        <w:t xml:space="preserve"> – S</w:t>
      </w:r>
      <w:r>
        <w:t xml:space="preserve">ee </w:t>
      </w:r>
      <w:r w:rsidRPr="002B4BC5">
        <w:rPr>
          <w:i/>
          <w:iCs/>
        </w:rPr>
        <w:t>Chapter 8</w:t>
      </w:r>
      <w:r>
        <w:t xml:space="preserve"> for details</w:t>
      </w:r>
      <w:r w:rsidR="00930652">
        <w:t>.</w:t>
      </w:r>
    </w:p>
    <w:p w14:paraId="3EF4015F" w14:textId="77777777" w:rsidR="00B53F82" w:rsidRDefault="00B53F82" w:rsidP="00B53F82">
      <w:pPr>
        <w:pStyle w:val="BULLETS"/>
        <w:numPr>
          <w:ilvl w:val="0"/>
          <w:numId w:val="0"/>
        </w:numPr>
        <w:ind w:left="720"/>
      </w:pPr>
    </w:p>
    <w:p w14:paraId="3DED4865" w14:textId="6A6C7308" w:rsidR="00C616DC" w:rsidRDefault="00B53F82" w:rsidP="00C616DC">
      <w:pPr>
        <w:pStyle w:val="BULLETS"/>
      </w:pPr>
      <w:r w:rsidRPr="002B4BC5">
        <w:rPr>
          <w:b/>
          <w:bCs/>
        </w:rPr>
        <w:t>Eligible Costs not Reported on the MSR</w:t>
      </w:r>
      <w:r w:rsidR="00930652">
        <w:t xml:space="preserve"> – R</w:t>
      </w:r>
      <w:r>
        <w:t>ecord all project costs that have not been reported on the Materials and Services</w:t>
      </w:r>
      <w:r w:rsidR="007E1FC3">
        <w:t xml:space="preserve"> </w:t>
      </w:r>
      <w:r w:rsidR="006B6537">
        <w:t>Report</w:t>
      </w:r>
      <w:r w:rsidR="002B4BC5">
        <w:t xml:space="preserve">, </w:t>
      </w:r>
      <w:r>
        <w:t xml:space="preserve">see </w:t>
      </w:r>
      <w:r w:rsidRPr="002B4BC5">
        <w:rPr>
          <w:i/>
          <w:iCs/>
        </w:rPr>
        <w:t>Chapter 5</w:t>
      </w:r>
      <w:r>
        <w:t>.  Examples include costs for acquisition of property and grant-funded utility connection fees.</w:t>
      </w:r>
    </w:p>
    <w:p w14:paraId="5D0DEA51" w14:textId="77777777" w:rsidR="00B53F82" w:rsidRDefault="00B53F82" w:rsidP="00B53F82">
      <w:pPr>
        <w:pStyle w:val="ListParagraph"/>
      </w:pPr>
    </w:p>
    <w:p w14:paraId="4DD770C4" w14:textId="288F4365" w:rsidR="00B53F82" w:rsidRDefault="00B53F82" w:rsidP="00C616DC">
      <w:pPr>
        <w:pStyle w:val="BULLETS"/>
      </w:pPr>
      <w:r w:rsidRPr="006B0FC4">
        <w:rPr>
          <w:b/>
          <w:bCs/>
        </w:rPr>
        <w:t>Special Requests</w:t>
      </w:r>
      <w:r w:rsidR="00930652">
        <w:t xml:space="preserve"> – F</w:t>
      </w:r>
      <w:r>
        <w:t xml:space="preserve">or requests not otherwise identified in TDA-GO, briefly describe the </w:t>
      </w:r>
      <w:proofErr w:type="gramStart"/>
      <w:r>
        <w:t>request</w:t>
      </w:r>
      <w:proofErr w:type="gramEnd"/>
      <w:r>
        <w:t xml:space="preserve"> and </w:t>
      </w:r>
      <w:r w:rsidR="006B6537">
        <w:t xml:space="preserve">provide </w:t>
      </w:r>
      <w:r>
        <w:t>all appropriate supporting documentation.  Examples include requests for non-competitive procurement approval</w:t>
      </w:r>
      <w:r w:rsidR="00A06085">
        <w:t xml:space="preserve"> and requests related to conflicts of interest.</w:t>
      </w:r>
    </w:p>
    <w:p w14:paraId="116AA2D1" w14:textId="77777777" w:rsidR="00A06085" w:rsidRDefault="00A06085" w:rsidP="00A06085">
      <w:pPr>
        <w:pStyle w:val="ListParagraph"/>
      </w:pPr>
    </w:p>
    <w:p w14:paraId="3D8AD06C" w14:textId="7983D1C8" w:rsidR="00A06085" w:rsidRDefault="00A06085" w:rsidP="00A06085">
      <w:pPr>
        <w:pStyle w:val="BULLETS"/>
        <w:numPr>
          <w:ilvl w:val="0"/>
          <w:numId w:val="0"/>
        </w:numPr>
      </w:pPr>
      <w:r>
        <w:t xml:space="preserve">The Grant Overview page also includes a section titled Hold Status. TDA staff will update this section as necessary based on identified compliance and/or progress issues. </w:t>
      </w:r>
    </w:p>
    <w:p w14:paraId="02263B6D" w14:textId="379DEE40" w:rsidR="00CA3EA5" w:rsidRPr="00B56F73" w:rsidRDefault="0045318F" w:rsidP="00504309">
      <w:pPr>
        <w:pStyle w:val="4ArialBold14"/>
      </w:pPr>
      <w:bookmarkStart w:id="34" w:name="_Toc504554662"/>
      <w:bookmarkStart w:id="35" w:name="_Toc7269274"/>
      <w:bookmarkStart w:id="36" w:name="_Toc38100399"/>
      <w:bookmarkStart w:id="37" w:name="_Toc97737606"/>
      <w:proofErr w:type="gramStart"/>
      <w:r w:rsidRPr="00B56F73">
        <w:lastRenderedPageBreak/>
        <w:t>1.2.</w:t>
      </w:r>
      <w:r w:rsidR="000E030B">
        <w:t>4</w:t>
      </w:r>
      <w:r w:rsidR="00DB3358" w:rsidRPr="00B56F73">
        <w:t xml:space="preserve"> </w:t>
      </w:r>
      <w:bookmarkEnd w:id="34"/>
      <w:r w:rsidR="00A37100" w:rsidRPr="00E17B20">
        <w:t xml:space="preserve"> </w:t>
      </w:r>
      <w:r w:rsidR="00D959D4" w:rsidRPr="008B529B">
        <w:t>Payment</w:t>
      </w:r>
      <w:proofErr w:type="gramEnd"/>
      <w:r w:rsidR="00D959D4" w:rsidRPr="008B529B">
        <w:t xml:space="preserve"> </w:t>
      </w:r>
      <w:r w:rsidR="00D959D4" w:rsidRPr="00504309">
        <w:t>Requests</w:t>
      </w:r>
      <w:r w:rsidR="00D959D4" w:rsidRPr="008B529B">
        <w:t xml:space="preserve"> </w:t>
      </w:r>
      <w:r w:rsidR="00D959D4">
        <w:t xml:space="preserve">and </w:t>
      </w:r>
      <w:r w:rsidR="00A37100" w:rsidRPr="008B529B">
        <w:t>Progress</w:t>
      </w:r>
      <w:r w:rsidR="0089789A" w:rsidRPr="008B529B">
        <w:t xml:space="preserve"> </w:t>
      </w:r>
      <w:r w:rsidR="00CA3EA5" w:rsidRPr="008B529B">
        <w:t>Reports</w:t>
      </w:r>
      <w:bookmarkEnd w:id="35"/>
      <w:bookmarkEnd w:id="36"/>
      <w:bookmarkEnd w:id="37"/>
    </w:p>
    <w:p w14:paraId="0FC2869D" w14:textId="3C69DFC4" w:rsidR="00572D77" w:rsidRPr="00555237" w:rsidRDefault="00572D77" w:rsidP="00B179CF">
      <w:pPr>
        <w:jc w:val="both"/>
        <w:rPr>
          <w:rFonts w:ascii="Arial" w:hAnsi="Arial" w:cs="Arial"/>
          <w:sz w:val="18"/>
          <w:szCs w:val="22"/>
        </w:rPr>
      </w:pPr>
    </w:p>
    <w:p w14:paraId="445CA363" w14:textId="28848156" w:rsidR="00793711" w:rsidRDefault="00793711" w:rsidP="00073335">
      <w:pPr>
        <w:pStyle w:val="1BODY-Arial11"/>
      </w:pPr>
      <w:r>
        <w:t>Payment requests and progress reports are completed in TDA</w:t>
      </w:r>
      <w:r w:rsidR="006B0FC4">
        <w:t>-</w:t>
      </w:r>
      <w:r>
        <w:t>GO.</w:t>
      </w:r>
      <w:r w:rsidR="002217D4">
        <w:t xml:space="preserve"> </w:t>
      </w:r>
      <w:r>
        <w:t>Performance Reports include the following</w:t>
      </w:r>
      <w:r w:rsidR="006B6537">
        <w:t>:</w:t>
      </w:r>
    </w:p>
    <w:p w14:paraId="0D704080" w14:textId="10F2ECA1" w:rsidR="00793711" w:rsidRPr="00997D7D" w:rsidRDefault="00793711" w:rsidP="00793711">
      <w:pPr>
        <w:pStyle w:val="BULLETS"/>
        <w:rPr>
          <w:i/>
          <w:iCs/>
        </w:rPr>
      </w:pPr>
      <w:r>
        <w:t xml:space="preserve">Environmental Review (see </w:t>
      </w:r>
      <w:r w:rsidRPr="00997D7D">
        <w:rPr>
          <w:i/>
          <w:iCs/>
        </w:rPr>
        <w:t>Chapter 3)</w:t>
      </w:r>
    </w:p>
    <w:p w14:paraId="526C9C8D" w14:textId="028BF70C" w:rsidR="00793711" w:rsidRDefault="00793711" w:rsidP="00793711">
      <w:pPr>
        <w:pStyle w:val="BULLETS"/>
      </w:pPr>
      <w:r>
        <w:t xml:space="preserve">Acquisition Report (see </w:t>
      </w:r>
      <w:r w:rsidRPr="00997D7D">
        <w:rPr>
          <w:i/>
          <w:iCs/>
        </w:rPr>
        <w:t>Chapter 6)</w:t>
      </w:r>
    </w:p>
    <w:p w14:paraId="4E91483F" w14:textId="36EACB21" w:rsidR="00793711" w:rsidRDefault="000E030B" w:rsidP="00793711">
      <w:pPr>
        <w:pStyle w:val="BULLETS"/>
      </w:pPr>
      <w:r>
        <w:t xml:space="preserve">Group A Report (see </w:t>
      </w:r>
      <w:r w:rsidRPr="00997D7D">
        <w:rPr>
          <w:i/>
          <w:iCs/>
        </w:rPr>
        <w:t>Chapter 2)</w:t>
      </w:r>
    </w:p>
    <w:p w14:paraId="687F825C" w14:textId="7B7A93F9" w:rsidR="000E030B" w:rsidRDefault="000E030B" w:rsidP="00793711">
      <w:pPr>
        <w:pStyle w:val="BULLETS"/>
      </w:pPr>
      <w:r>
        <w:t xml:space="preserve">Group B Report (see </w:t>
      </w:r>
      <w:r w:rsidRPr="00997D7D">
        <w:rPr>
          <w:i/>
          <w:iCs/>
        </w:rPr>
        <w:t>Chapter 2)</w:t>
      </w:r>
    </w:p>
    <w:p w14:paraId="71B8AB9A" w14:textId="17C1C4D2" w:rsidR="00097087" w:rsidRDefault="000E030B" w:rsidP="00930652">
      <w:pPr>
        <w:pStyle w:val="BULLETS"/>
      </w:pPr>
      <w:r>
        <w:t xml:space="preserve">Performance Report (general) </w:t>
      </w:r>
      <w:r w:rsidR="00997D7D">
        <w:t>–</w:t>
      </w:r>
      <w:r>
        <w:t xml:space="preserve"> </w:t>
      </w:r>
      <w:r w:rsidR="000A5ACC" w:rsidRPr="00BB18DA">
        <w:t>Progress reports</w:t>
      </w:r>
      <w:r w:rsidR="00BD1D0D" w:rsidRPr="00BB18DA">
        <w:t xml:space="preserve"> of the status of each project shall </w:t>
      </w:r>
      <w:r w:rsidR="00BD21A5" w:rsidRPr="00BB18DA">
        <w:t xml:space="preserve">be provided by the Grant Recipient </w:t>
      </w:r>
      <w:r w:rsidR="00D959D4">
        <w:t xml:space="preserve">on a </w:t>
      </w:r>
      <w:r w:rsidR="006B6537">
        <w:t xml:space="preserve">voluntary </w:t>
      </w:r>
      <w:r w:rsidR="00D959D4">
        <w:t>basis, or when TDA requests a progress report. No longer is a payment request connected to a progress report</w:t>
      </w:r>
      <w:r w:rsidR="003A115D" w:rsidRPr="00BB18DA">
        <w:t>.</w:t>
      </w:r>
      <w:r w:rsidR="00AF3E36" w:rsidRPr="00BB18DA">
        <w:t xml:space="preserve"> </w:t>
      </w:r>
    </w:p>
    <w:p w14:paraId="75B5936A" w14:textId="57072675" w:rsidR="00930652" w:rsidRDefault="00930652" w:rsidP="00FE1FDF">
      <w:pPr>
        <w:pStyle w:val="BULLETS"/>
        <w:numPr>
          <w:ilvl w:val="0"/>
          <w:numId w:val="0"/>
        </w:numPr>
      </w:pPr>
    </w:p>
    <w:p w14:paraId="7C255A09" w14:textId="56E3E8E6" w:rsidR="00930652" w:rsidRDefault="00FE1FDF" w:rsidP="006B0FC4">
      <w:pPr>
        <w:pStyle w:val="BULLETS"/>
        <w:numPr>
          <w:ilvl w:val="0"/>
          <w:numId w:val="0"/>
        </w:numPr>
        <w:ind w:left="360"/>
      </w:pPr>
      <w:r>
        <w:t xml:space="preserve">To initiate a payment </w:t>
      </w:r>
      <w:r w:rsidR="006B6537">
        <w:t xml:space="preserve">request </w:t>
      </w:r>
      <w:r>
        <w:t>or performance report</w:t>
      </w:r>
      <w:r w:rsidR="00454E4C">
        <w:t xml:space="preserve">, select </w:t>
      </w:r>
      <w:r w:rsidR="00454E4C" w:rsidRPr="00454E4C">
        <w:rPr>
          <w:i/>
          <w:iCs/>
        </w:rPr>
        <w:t>Initiate Related Doc</w:t>
      </w:r>
      <w:r w:rsidR="00454E4C">
        <w:t xml:space="preserve"> in the navigation menu.  Ensure that the appropriate Agreement Number and document type are identified</w:t>
      </w:r>
      <w:r w:rsidR="00997D7D">
        <w:t xml:space="preserve"> </w:t>
      </w:r>
      <w:r w:rsidR="00454E4C">
        <w:t xml:space="preserve">and </w:t>
      </w:r>
      <w:r w:rsidR="006B0FC4">
        <w:t>select</w:t>
      </w:r>
      <w:r w:rsidR="00454E4C">
        <w:t xml:space="preserve"> </w:t>
      </w:r>
      <w:r w:rsidR="00454E4C" w:rsidRPr="00997D7D">
        <w:rPr>
          <w:b/>
          <w:bCs/>
        </w:rPr>
        <w:t>Create</w:t>
      </w:r>
      <w:r w:rsidR="00454E4C">
        <w:t>.</w:t>
      </w:r>
      <w:r w:rsidR="004B2E31">
        <w:t xml:space="preserve"> See Figure 4.</w:t>
      </w:r>
    </w:p>
    <w:p w14:paraId="54E18689" w14:textId="757166A7" w:rsidR="006B0FC4" w:rsidRDefault="006B0FC4" w:rsidP="006B0FC4">
      <w:pPr>
        <w:pStyle w:val="BULLETS"/>
        <w:numPr>
          <w:ilvl w:val="0"/>
          <w:numId w:val="0"/>
        </w:numPr>
        <w:ind w:left="360"/>
      </w:pPr>
    </w:p>
    <w:p w14:paraId="78E4A658" w14:textId="52CD7860" w:rsidR="006B0FC4" w:rsidRDefault="002217D4" w:rsidP="006B0FC4">
      <w:pPr>
        <w:pStyle w:val="BULLETS"/>
        <w:numPr>
          <w:ilvl w:val="0"/>
          <w:numId w:val="0"/>
        </w:numPr>
        <w:ind w:left="360"/>
      </w:pPr>
      <w:r>
        <w:rPr>
          <w:noProof/>
        </w:rPr>
        <mc:AlternateContent>
          <mc:Choice Requires="wps">
            <w:drawing>
              <wp:anchor distT="0" distB="0" distL="114300" distR="114300" simplePos="0" relativeHeight="251667456" behindDoc="0" locked="0" layoutInCell="1" allowOverlap="1" wp14:anchorId="30221B21" wp14:editId="501858D6">
                <wp:simplePos x="0" y="0"/>
                <wp:positionH relativeFrom="column">
                  <wp:posOffset>137795</wp:posOffset>
                </wp:positionH>
                <wp:positionV relativeFrom="paragraph">
                  <wp:posOffset>10160</wp:posOffset>
                </wp:positionV>
                <wp:extent cx="5262880" cy="3310890"/>
                <wp:effectExtent l="0" t="0" r="7620" b="16510"/>
                <wp:wrapNone/>
                <wp:docPr id="12" name="Rectangle 12"/>
                <wp:cNvGraphicFramePr/>
                <a:graphic xmlns:a="http://schemas.openxmlformats.org/drawingml/2006/main">
                  <a:graphicData uri="http://schemas.microsoft.com/office/word/2010/wordprocessingShape">
                    <wps:wsp>
                      <wps:cNvSpPr/>
                      <wps:spPr>
                        <a:xfrm>
                          <a:off x="0" y="0"/>
                          <a:ext cx="5262880" cy="3310890"/>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A2A5FF" id="Rectangle 12" o:spid="_x0000_s1026" style="position:absolute;margin-left:10.85pt;margin-top:.8pt;width:414.4pt;height:260.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" filled="f" strokecolor="#243f60 [1604]" strokeweight="1pt"/>
            </w:pict>
          </mc:Fallback>
        </mc:AlternateContent>
      </w:r>
      <w:r>
        <w:rPr>
          <w:noProof/>
        </w:rPr>
        <w:drawing>
          <wp:anchor distT="0" distB="0" distL="114300" distR="114300" simplePos="0" relativeHeight="251666432" behindDoc="0" locked="0" layoutInCell="1" allowOverlap="1" wp14:anchorId="75E242A6" wp14:editId="7918127B">
            <wp:simplePos x="0" y="0"/>
            <wp:positionH relativeFrom="column">
              <wp:posOffset>123825</wp:posOffset>
            </wp:positionH>
            <wp:positionV relativeFrom="paragraph">
              <wp:posOffset>22860</wp:posOffset>
            </wp:positionV>
            <wp:extent cx="5271135" cy="3303905"/>
            <wp:effectExtent l="0" t="0" r="0" b="0"/>
            <wp:wrapNone/>
            <wp:docPr id="11" name="Picture 11"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Graphical user interface, text, application, email&#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271135" cy="3303905"/>
                    </a:xfrm>
                    <a:prstGeom prst="rect">
                      <a:avLst/>
                    </a:prstGeom>
                  </pic:spPr>
                </pic:pic>
              </a:graphicData>
            </a:graphic>
            <wp14:sizeRelH relativeFrom="page">
              <wp14:pctWidth>0</wp14:pctWidth>
            </wp14:sizeRelH>
            <wp14:sizeRelV relativeFrom="page">
              <wp14:pctHeight>0</wp14:pctHeight>
            </wp14:sizeRelV>
          </wp:anchor>
        </w:drawing>
      </w:r>
    </w:p>
    <w:p w14:paraId="6BE932E6" w14:textId="3F0FAAF4" w:rsidR="006B0FC4" w:rsidRDefault="006B0FC4" w:rsidP="006B0FC4">
      <w:pPr>
        <w:pStyle w:val="BULLETS"/>
        <w:numPr>
          <w:ilvl w:val="0"/>
          <w:numId w:val="0"/>
        </w:numPr>
        <w:ind w:left="360"/>
      </w:pPr>
    </w:p>
    <w:p w14:paraId="36A1BD6B" w14:textId="75EC7BF9" w:rsidR="006B0FC4" w:rsidRDefault="006B0FC4" w:rsidP="006B0FC4">
      <w:pPr>
        <w:pStyle w:val="BULLETS"/>
        <w:numPr>
          <w:ilvl w:val="0"/>
          <w:numId w:val="0"/>
        </w:numPr>
        <w:ind w:left="360"/>
      </w:pPr>
    </w:p>
    <w:p w14:paraId="0C5CF1F3" w14:textId="0CDBEC43" w:rsidR="006B0FC4" w:rsidRDefault="006B0FC4" w:rsidP="006B0FC4">
      <w:pPr>
        <w:pStyle w:val="BULLETS"/>
        <w:numPr>
          <w:ilvl w:val="0"/>
          <w:numId w:val="0"/>
        </w:numPr>
        <w:ind w:left="360"/>
      </w:pPr>
    </w:p>
    <w:p w14:paraId="07C41239" w14:textId="72656CBE" w:rsidR="006B0FC4" w:rsidRDefault="006B0FC4" w:rsidP="006B0FC4">
      <w:pPr>
        <w:pStyle w:val="BULLETS"/>
        <w:numPr>
          <w:ilvl w:val="0"/>
          <w:numId w:val="0"/>
        </w:numPr>
        <w:ind w:left="360"/>
      </w:pPr>
    </w:p>
    <w:p w14:paraId="72442788" w14:textId="43AA5E02" w:rsidR="00D959D4" w:rsidRDefault="00D959D4" w:rsidP="00073335">
      <w:pPr>
        <w:pStyle w:val="1BODY-Arial11"/>
      </w:pPr>
    </w:p>
    <w:p w14:paraId="0BF52EA0" w14:textId="580A7535" w:rsidR="00D959D4" w:rsidRDefault="00D959D4" w:rsidP="00073335">
      <w:pPr>
        <w:pStyle w:val="1BODY-Arial11"/>
      </w:pPr>
    </w:p>
    <w:p w14:paraId="243F5E3A" w14:textId="2E0EA718" w:rsidR="00D959D4" w:rsidRDefault="00D959D4" w:rsidP="00073335">
      <w:pPr>
        <w:pStyle w:val="1BODY-Arial11"/>
      </w:pPr>
    </w:p>
    <w:p w14:paraId="032D1D43" w14:textId="74C84923" w:rsidR="00D959D4" w:rsidRDefault="00D959D4" w:rsidP="00073335">
      <w:pPr>
        <w:pStyle w:val="1BODY-Arial11"/>
      </w:pPr>
    </w:p>
    <w:p w14:paraId="42AAAD97" w14:textId="28D25D96" w:rsidR="00D959D4" w:rsidRDefault="00D959D4" w:rsidP="00073335">
      <w:pPr>
        <w:pStyle w:val="1BODY-Arial11"/>
      </w:pPr>
    </w:p>
    <w:p w14:paraId="295D1444" w14:textId="72DF4732" w:rsidR="00D959D4" w:rsidRDefault="00D959D4" w:rsidP="00073335">
      <w:pPr>
        <w:pStyle w:val="1BODY-Arial11"/>
      </w:pPr>
    </w:p>
    <w:p w14:paraId="7ABB48D7" w14:textId="0A35C9D2" w:rsidR="00D959D4" w:rsidRDefault="00D959D4" w:rsidP="00FF54D8">
      <w:pPr>
        <w:pStyle w:val="1BODY-Arial11"/>
        <w:spacing w:before="240"/>
      </w:pPr>
    </w:p>
    <w:p w14:paraId="0740A886" w14:textId="568DC8F6" w:rsidR="00D959D4" w:rsidRDefault="00D959D4" w:rsidP="00073335">
      <w:pPr>
        <w:pStyle w:val="1BODY-Arial11"/>
      </w:pPr>
    </w:p>
    <w:p w14:paraId="18636C9F" w14:textId="67A5F939" w:rsidR="00D959D4" w:rsidRDefault="00D959D4" w:rsidP="00073335">
      <w:pPr>
        <w:pStyle w:val="1BODY-Arial11"/>
      </w:pPr>
    </w:p>
    <w:p w14:paraId="2059F305" w14:textId="6DF7B2D2" w:rsidR="00D959D4" w:rsidRDefault="00D959D4" w:rsidP="00073335">
      <w:pPr>
        <w:pStyle w:val="1BODY-Arial11"/>
      </w:pPr>
    </w:p>
    <w:p w14:paraId="470A447B" w14:textId="19CD9A75" w:rsidR="00480E1C" w:rsidRDefault="002217D4" w:rsidP="00073335">
      <w:pPr>
        <w:pStyle w:val="1BODY-Arial11"/>
      </w:pPr>
      <w:r>
        <w:rPr>
          <w:noProof/>
        </w:rPr>
        <mc:AlternateContent>
          <mc:Choice Requires="wps">
            <w:drawing>
              <wp:anchor distT="0" distB="0" distL="114300" distR="114300" simplePos="0" relativeHeight="251668480" behindDoc="0" locked="0" layoutInCell="1" allowOverlap="1" wp14:anchorId="50EE6758" wp14:editId="2FF019C9">
                <wp:simplePos x="0" y="0"/>
                <wp:positionH relativeFrom="column">
                  <wp:posOffset>125730</wp:posOffset>
                </wp:positionH>
                <wp:positionV relativeFrom="paragraph">
                  <wp:posOffset>95885</wp:posOffset>
                </wp:positionV>
                <wp:extent cx="857885" cy="200660"/>
                <wp:effectExtent l="0" t="0" r="18415" b="15240"/>
                <wp:wrapNone/>
                <wp:docPr id="13" name="Rectangle 13"/>
                <wp:cNvGraphicFramePr/>
                <a:graphic xmlns:a="http://schemas.openxmlformats.org/drawingml/2006/main">
                  <a:graphicData uri="http://schemas.microsoft.com/office/word/2010/wordprocessingShape">
                    <wps:wsp>
                      <wps:cNvSpPr/>
                      <wps:spPr>
                        <a:xfrm>
                          <a:off x="0" y="0"/>
                          <a:ext cx="857885" cy="200660"/>
                        </a:xfrm>
                        <a:prstGeom prst="rect">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4906D7" id="Rectangle 13" o:spid="_x0000_s1026" style="position:absolute;margin-left:9.9pt;margin-top:7.55pt;width:67.55pt;height:15.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" filled="f" strokecolor="red" strokeweight="1pt"/>
            </w:pict>
          </mc:Fallback>
        </mc:AlternateContent>
      </w:r>
    </w:p>
    <w:p w14:paraId="2B21F19E" w14:textId="77777777" w:rsidR="0062167E" w:rsidRDefault="0062167E" w:rsidP="00D959D4">
      <w:pPr>
        <w:pStyle w:val="1BODY-Arial11"/>
        <w:rPr>
          <w:b/>
          <w:bCs/>
          <w:i/>
          <w:iCs/>
          <w:color w:val="4472C4"/>
          <w:sz w:val="18"/>
          <w:szCs w:val="18"/>
        </w:rPr>
      </w:pPr>
    </w:p>
    <w:p w14:paraId="1BC4FEB1" w14:textId="0DDAFFFA" w:rsidR="0062167E" w:rsidRDefault="0062167E" w:rsidP="00D959D4">
      <w:pPr>
        <w:pStyle w:val="1BODY-Arial11"/>
        <w:rPr>
          <w:b/>
          <w:bCs/>
          <w:i/>
          <w:iCs/>
          <w:color w:val="4472C4"/>
          <w:sz w:val="18"/>
          <w:szCs w:val="18"/>
        </w:rPr>
      </w:pPr>
    </w:p>
    <w:p w14:paraId="446AE038" w14:textId="0897E65A" w:rsidR="00D959D4" w:rsidRDefault="00D959D4" w:rsidP="00D959D4">
      <w:pPr>
        <w:pStyle w:val="1BODY-Arial11"/>
        <w:rPr>
          <w:b/>
          <w:bCs/>
          <w:i/>
          <w:iCs/>
          <w:color w:val="4472C4"/>
          <w:sz w:val="18"/>
          <w:szCs w:val="18"/>
        </w:rPr>
      </w:pPr>
      <w:r>
        <w:rPr>
          <w:b/>
          <w:bCs/>
          <w:i/>
          <w:iCs/>
          <w:color w:val="4472C4"/>
          <w:sz w:val="18"/>
          <w:szCs w:val="18"/>
        </w:rPr>
        <w:t xml:space="preserve"> </w:t>
      </w:r>
      <w:r w:rsidRPr="00E25717">
        <w:rPr>
          <w:b/>
          <w:bCs/>
          <w:i/>
          <w:iCs/>
          <w:color w:val="4472C4"/>
          <w:sz w:val="18"/>
          <w:szCs w:val="18"/>
        </w:rPr>
        <w:t xml:space="preserve">Figure </w:t>
      </w:r>
      <w:r>
        <w:rPr>
          <w:b/>
          <w:bCs/>
          <w:i/>
          <w:iCs/>
          <w:color w:val="4472C4"/>
          <w:sz w:val="18"/>
          <w:szCs w:val="18"/>
        </w:rPr>
        <w:t>4</w:t>
      </w:r>
      <w:r w:rsidRPr="00E25717">
        <w:rPr>
          <w:b/>
          <w:bCs/>
          <w:i/>
          <w:iCs/>
          <w:color w:val="4472C4"/>
          <w:sz w:val="18"/>
          <w:szCs w:val="18"/>
        </w:rPr>
        <w:t xml:space="preserve">. </w:t>
      </w:r>
      <w:r>
        <w:rPr>
          <w:b/>
          <w:bCs/>
          <w:i/>
          <w:iCs/>
          <w:color w:val="4472C4"/>
          <w:sz w:val="18"/>
          <w:szCs w:val="18"/>
        </w:rPr>
        <w:t xml:space="preserve">Payment requests and </w:t>
      </w:r>
      <w:r w:rsidR="00A52D69">
        <w:rPr>
          <w:b/>
          <w:bCs/>
          <w:i/>
          <w:iCs/>
          <w:color w:val="4472C4"/>
          <w:sz w:val="18"/>
          <w:szCs w:val="18"/>
        </w:rPr>
        <w:t>progress reports are completed in TDA</w:t>
      </w:r>
      <w:r w:rsidR="006B0FC4">
        <w:rPr>
          <w:b/>
          <w:bCs/>
          <w:i/>
          <w:iCs/>
          <w:color w:val="4472C4"/>
          <w:sz w:val="18"/>
          <w:szCs w:val="18"/>
        </w:rPr>
        <w:t>-</w:t>
      </w:r>
      <w:r w:rsidR="00A52D69">
        <w:rPr>
          <w:b/>
          <w:bCs/>
          <w:i/>
          <w:iCs/>
          <w:color w:val="4472C4"/>
          <w:sz w:val="18"/>
          <w:szCs w:val="18"/>
        </w:rPr>
        <w:t>GO</w:t>
      </w:r>
    </w:p>
    <w:p w14:paraId="446D85FA" w14:textId="38B996CC" w:rsidR="00930652" w:rsidRDefault="00930652" w:rsidP="00D959D4">
      <w:pPr>
        <w:pStyle w:val="1BODY-Arial11"/>
        <w:rPr>
          <w:b/>
          <w:bCs/>
          <w:i/>
          <w:iCs/>
          <w:color w:val="4472C4"/>
          <w:sz w:val="18"/>
          <w:szCs w:val="18"/>
        </w:rPr>
      </w:pPr>
    </w:p>
    <w:p w14:paraId="067FF4B2" w14:textId="7773DB20" w:rsidR="00ED0ADD" w:rsidRDefault="00EF7965" w:rsidP="00BB18DA">
      <w:pPr>
        <w:pStyle w:val="1BODY-Arial11"/>
      </w:pPr>
      <w:r w:rsidRPr="00BB18DA">
        <w:t xml:space="preserve">TxCDBG </w:t>
      </w:r>
      <w:r w:rsidR="004446BA">
        <w:t>Grant</w:t>
      </w:r>
      <w:r w:rsidRPr="00BB18DA">
        <w:t xml:space="preserve"> Specialists may request updated p</w:t>
      </w:r>
      <w:r w:rsidR="00C93537" w:rsidRPr="00BB18DA">
        <w:t xml:space="preserve">rogress information as needed. </w:t>
      </w:r>
      <w:r w:rsidRPr="00BB18DA">
        <w:t>Failure to respond to such requests, as well as</w:t>
      </w:r>
      <w:r w:rsidR="00552FB2" w:rsidRPr="00BB18DA">
        <w:t xml:space="preserve"> </w:t>
      </w:r>
      <w:r w:rsidR="00ED0ADD" w:rsidRPr="00BB18DA">
        <w:t>unresolved programmatic issues, monitoring findings, and/or audit findings</w:t>
      </w:r>
      <w:r w:rsidRPr="00BB18DA">
        <w:t xml:space="preserve"> will result in the </w:t>
      </w:r>
      <w:r w:rsidR="00FE1FDF">
        <w:t>grant agreement</w:t>
      </w:r>
      <w:r w:rsidR="00FE1FDF" w:rsidRPr="00BB18DA">
        <w:t xml:space="preserve"> </w:t>
      </w:r>
      <w:r w:rsidRPr="00BB18DA">
        <w:t>being considered out of compliance</w:t>
      </w:r>
      <w:r w:rsidR="00ED0ADD" w:rsidRPr="00BB18DA">
        <w:t>.</w:t>
      </w:r>
      <w:r w:rsidR="002527A5">
        <w:t xml:space="preserve"> </w:t>
      </w:r>
      <w:r w:rsidR="00ED0ADD" w:rsidRPr="00BB18DA">
        <w:t xml:space="preserve">The </w:t>
      </w:r>
      <w:r w:rsidR="00FE1FDF">
        <w:t>agreement</w:t>
      </w:r>
      <w:r w:rsidR="00FE1FDF" w:rsidRPr="00BB18DA">
        <w:t xml:space="preserve"> </w:t>
      </w:r>
      <w:r w:rsidR="00ED0ADD" w:rsidRPr="00BB18DA">
        <w:t>shall remain out of compliance until all issues have</w:t>
      </w:r>
      <w:r w:rsidR="00AF3E36" w:rsidRPr="00BB18DA">
        <w:t xml:space="preserve"> been satisfactorily resolved. </w:t>
      </w:r>
      <w:r w:rsidR="00ED0ADD" w:rsidRPr="00BB18DA">
        <w:t xml:space="preserve">Non-compliance could affect future funding for a locality and may result in holds </w:t>
      </w:r>
      <w:r w:rsidR="00013927" w:rsidRPr="00BB18DA">
        <w:t xml:space="preserve">on </w:t>
      </w:r>
      <w:r w:rsidR="00ED0ADD" w:rsidRPr="00BB18DA">
        <w:t>submitted draw requests.</w:t>
      </w:r>
    </w:p>
    <w:p w14:paraId="3F4661A2" w14:textId="0A1C50BB" w:rsidR="002527A5" w:rsidRDefault="002527A5" w:rsidP="00BB18DA">
      <w:pPr>
        <w:pStyle w:val="1BODY-Arial11"/>
      </w:pPr>
    </w:p>
    <w:p w14:paraId="19A42F5D" w14:textId="680D6E38" w:rsidR="00793711" w:rsidRPr="00793711" w:rsidRDefault="00FE1FDF" w:rsidP="002217D4">
      <w:pPr>
        <w:pStyle w:val="1BODY-Arial11"/>
      </w:pPr>
      <w:r>
        <w:t>Agreements</w:t>
      </w:r>
      <w:r w:rsidRPr="006E6EEC">
        <w:t xml:space="preserve"> </w:t>
      </w:r>
      <w:r w:rsidR="002527A5" w:rsidRPr="006E6EEC">
        <w:t xml:space="preserve">that continue to fall behind schedule and do not meet the target dates established by the </w:t>
      </w:r>
      <w:r w:rsidR="002527A5">
        <w:t>p</w:t>
      </w:r>
      <w:r w:rsidR="002527A5" w:rsidRPr="006E6EEC">
        <w:t xml:space="preserve">lan of </w:t>
      </w:r>
      <w:r w:rsidR="002527A5">
        <w:t>a</w:t>
      </w:r>
      <w:r w:rsidR="002527A5" w:rsidRPr="006E6EEC">
        <w:t xml:space="preserve">ction timeline may be subject to termination and </w:t>
      </w:r>
      <w:proofErr w:type="spellStart"/>
      <w:r w:rsidR="002527A5" w:rsidRPr="006E6EEC">
        <w:t>deobligation</w:t>
      </w:r>
      <w:proofErr w:type="spellEnd"/>
      <w:r w:rsidR="002527A5" w:rsidRPr="006E6EEC">
        <w:t xml:space="preserve"> of funds. In very limited circumstances, extension requests for such projects will be considered where extenuating circumstances beyond the control of the Grant Recipient exist and the Grant Recipient demonstrates diligent efforts to resolve the issues preventing progress on the projects.</w:t>
      </w:r>
      <w:r w:rsidR="002527A5">
        <w:t xml:space="preserve"> See </w:t>
      </w:r>
      <w:r w:rsidR="002527A5" w:rsidRPr="006B0FC4">
        <w:rPr>
          <w:i/>
          <w:iCs/>
        </w:rPr>
        <w:t>Chapter 11.3</w:t>
      </w:r>
      <w:r w:rsidR="002527A5">
        <w:t xml:space="preserve"> </w:t>
      </w:r>
      <w:r w:rsidR="006E44C2">
        <w:rPr>
          <w:i/>
          <w:iCs/>
        </w:rPr>
        <w:t>Grant</w:t>
      </w:r>
      <w:r w:rsidR="006E44C2" w:rsidRPr="0050171B">
        <w:rPr>
          <w:i/>
          <w:iCs/>
        </w:rPr>
        <w:t xml:space="preserve"> </w:t>
      </w:r>
      <w:r w:rsidR="002527A5" w:rsidRPr="0050171B">
        <w:rPr>
          <w:i/>
          <w:iCs/>
        </w:rPr>
        <w:t>Period Extensions</w:t>
      </w:r>
      <w:r w:rsidR="002527A5">
        <w:t>.</w:t>
      </w:r>
    </w:p>
    <w:sectPr w:rsidR="00793711" w:rsidRPr="00793711" w:rsidSect="0024402D">
      <w:footerReference w:type="default" r:id="rId15"/>
      <w:pgSz w:w="12240" w:h="15840" w:code="1"/>
      <w:pgMar w:top="1152" w:right="1152" w:bottom="990" w:left="1152" w:header="720" w:footer="59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2D6EF" w14:textId="77777777" w:rsidR="004303E5" w:rsidRDefault="004303E5">
      <w:r>
        <w:separator/>
      </w:r>
    </w:p>
  </w:endnote>
  <w:endnote w:type="continuationSeparator" w:id="0">
    <w:p w14:paraId="34B5802D" w14:textId="77777777" w:rsidR="004303E5" w:rsidRDefault="00430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C7990" w14:textId="77777777" w:rsidR="00376CCD" w:rsidRDefault="00376CCD" w:rsidP="00FE777F">
    <w:pPr>
      <w:pStyle w:val="Footer"/>
      <w:pBdr>
        <w:top w:val="dotted" w:sz="4" w:space="1" w:color="auto"/>
      </w:pBdr>
      <w:tabs>
        <w:tab w:val="clear" w:pos="4320"/>
        <w:tab w:val="clear" w:pos="8640"/>
        <w:tab w:val="left" w:pos="3600"/>
        <w:tab w:val="left" w:pos="8550"/>
        <w:tab w:val="right" w:pos="10170"/>
      </w:tabs>
      <w:rPr>
        <w:rFonts w:ascii="Arial" w:hAnsi="Arial" w:cs="Arial"/>
        <w:sz w:val="16"/>
        <w:szCs w:val="16"/>
        <w:lang w:val="en-US"/>
      </w:rPr>
    </w:pPr>
  </w:p>
  <w:p w14:paraId="6CB7E889" w14:textId="582A41A4" w:rsidR="005B0CD9" w:rsidRPr="005B0CD9" w:rsidRDefault="00376CCD" w:rsidP="00FE777F">
    <w:pPr>
      <w:pStyle w:val="Footer"/>
      <w:pBdr>
        <w:top w:val="dotted" w:sz="4" w:space="1" w:color="auto"/>
      </w:pBdr>
      <w:tabs>
        <w:tab w:val="clear" w:pos="4320"/>
        <w:tab w:val="clear" w:pos="8640"/>
        <w:tab w:val="left" w:pos="3600"/>
        <w:tab w:val="left" w:pos="8550"/>
        <w:tab w:val="right" w:pos="10170"/>
      </w:tabs>
      <w:rPr>
        <w:rFonts w:ascii="Arial" w:hAnsi="Arial" w:cs="Arial"/>
        <w:sz w:val="16"/>
        <w:szCs w:val="16"/>
      </w:rPr>
    </w:pPr>
    <w:r>
      <w:rPr>
        <w:rFonts w:ascii="Arial" w:hAnsi="Arial" w:cs="Arial"/>
        <w:sz w:val="16"/>
        <w:szCs w:val="16"/>
        <w:lang w:val="en-US"/>
      </w:rPr>
      <w:t>202</w:t>
    </w:r>
    <w:r w:rsidR="002217D4">
      <w:rPr>
        <w:rFonts w:ascii="Arial" w:hAnsi="Arial" w:cs="Arial"/>
        <w:sz w:val="16"/>
        <w:szCs w:val="16"/>
        <w:lang w:val="en-US"/>
      </w:rPr>
      <w:t>2</w:t>
    </w:r>
    <w:r w:rsidR="00763B0D">
      <w:rPr>
        <w:rFonts w:ascii="Arial" w:hAnsi="Arial" w:cs="Arial"/>
        <w:sz w:val="16"/>
        <w:szCs w:val="16"/>
      </w:rPr>
      <w:t xml:space="preserve"> </w:t>
    </w:r>
    <w:r w:rsidR="00554042" w:rsidRPr="009A2780">
      <w:rPr>
        <w:rFonts w:ascii="Arial" w:hAnsi="Arial" w:cs="Arial"/>
        <w:sz w:val="16"/>
        <w:szCs w:val="16"/>
      </w:rPr>
      <w:t>TxCDBG Project</w:t>
    </w:r>
    <w:r w:rsidR="00554042">
      <w:rPr>
        <w:rFonts w:ascii="Arial" w:hAnsi="Arial" w:cs="Arial"/>
        <w:sz w:val="16"/>
        <w:szCs w:val="16"/>
      </w:rPr>
      <w:t xml:space="preserve"> Implementation Manual</w:t>
    </w:r>
    <w:r w:rsidR="00554042">
      <w:rPr>
        <w:rFonts w:ascii="Arial" w:hAnsi="Arial" w:cs="Arial"/>
        <w:sz w:val="16"/>
        <w:szCs w:val="16"/>
        <w:lang w:val="en-US"/>
      </w:rPr>
      <w:tab/>
    </w:r>
    <w:r w:rsidR="00554042" w:rsidRPr="009A2780">
      <w:rPr>
        <w:rFonts w:ascii="Arial" w:hAnsi="Arial" w:cs="Arial"/>
        <w:sz w:val="16"/>
        <w:szCs w:val="16"/>
      </w:rPr>
      <w:t xml:space="preserve">SECTION </w:t>
    </w:r>
    <w:r w:rsidR="00554042">
      <w:rPr>
        <w:rFonts w:ascii="Arial" w:hAnsi="Arial" w:cs="Arial"/>
        <w:sz w:val="16"/>
        <w:szCs w:val="16"/>
      </w:rPr>
      <w:t>A</w:t>
    </w:r>
    <w:r w:rsidR="00554042" w:rsidRPr="009A2780">
      <w:rPr>
        <w:rFonts w:ascii="Arial" w:hAnsi="Arial" w:cs="Arial"/>
        <w:sz w:val="16"/>
        <w:szCs w:val="16"/>
      </w:rPr>
      <w:t xml:space="preserve"> - Chapter 1</w:t>
    </w:r>
    <w:r w:rsidR="00554042">
      <w:rPr>
        <w:rFonts w:ascii="Arial" w:hAnsi="Arial" w:cs="Arial"/>
        <w:sz w:val="16"/>
        <w:szCs w:val="16"/>
      </w:rPr>
      <w:t xml:space="preserve"> Administration &amp; Reporting</w:t>
    </w:r>
    <w:r w:rsidR="00AB0A39">
      <w:rPr>
        <w:rFonts w:ascii="Arial" w:hAnsi="Arial" w:cs="Arial"/>
        <w:color w:val="000000" w:themeColor="text1"/>
        <w:sz w:val="16"/>
        <w:szCs w:val="16"/>
        <w:lang w:val="en-US"/>
      </w:rPr>
      <w:t xml:space="preserve">              </w:t>
    </w:r>
    <w:r w:rsidR="002217D4">
      <w:rPr>
        <w:rFonts w:ascii="Arial" w:hAnsi="Arial" w:cs="Arial"/>
        <w:color w:val="000000" w:themeColor="text1"/>
        <w:sz w:val="16"/>
        <w:szCs w:val="16"/>
        <w:lang w:val="en-US"/>
      </w:rPr>
      <w:t>3.10.2022</w:t>
    </w:r>
    <w:r w:rsidR="00555237" w:rsidRPr="00D16346">
      <w:rPr>
        <w:rFonts w:ascii="Arial" w:hAnsi="Arial" w:cs="Arial"/>
        <w:color w:val="548DD4" w:themeColor="text2" w:themeTint="99"/>
        <w:sz w:val="16"/>
        <w:szCs w:val="16"/>
        <w:lang w:val="en-US"/>
      </w:rPr>
      <w:tab/>
    </w:r>
    <w:r w:rsidR="00554042" w:rsidRPr="009A2780">
      <w:rPr>
        <w:rStyle w:val="PageNumber"/>
        <w:rFonts w:ascii="Arial" w:hAnsi="Arial" w:cs="Arial"/>
        <w:sz w:val="16"/>
        <w:szCs w:val="16"/>
      </w:rPr>
      <w:fldChar w:fldCharType="begin"/>
    </w:r>
    <w:r w:rsidR="00554042" w:rsidRPr="009A2780">
      <w:rPr>
        <w:rStyle w:val="PageNumber"/>
        <w:rFonts w:ascii="Arial" w:hAnsi="Arial" w:cs="Arial"/>
        <w:sz w:val="16"/>
        <w:szCs w:val="16"/>
      </w:rPr>
      <w:instrText xml:space="preserve"> PAGE </w:instrText>
    </w:r>
    <w:r w:rsidR="00554042" w:rsidRPr="009A2780">
      <w:rPr>
        <w:rStyle w:val="PageNumber"/>
        <w:rFonts w:ascii="Arial" w:hAnsi="Arial" w:cs="Arial"/>
        <w:sz w:val="16"/>
        <w:szCs w:val="16"/>
      </w:rPr>
      <w:fldChar w:fldCharType="separate"/>
    </w:r>
    <w:r w:rsidR="00C148AE">
      <w:rPr>
        <w:rStyle w:val="PageNumber"/>
        <w:rFonts w:ascii="Arial" w:hAnsi="Arial" w:cs="Arial"/>
        <w:noProof/>
        <w:sz w:val="16"/>
        <w:szCs w:val="16"/>
      </w:rPr>
      <w:t>5</w:t>
    </w:r>
    <w:r w:rsidR="00554042" w:rsidRPr="009A2780">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58475" w14:textId="77777777" w:rsidR="004303E5" w:rsidRDefault="004303E5">
      <w:r>
        <w:separator/>
      </w:r>
    </w:p>
  </w:footnote>
  <w:footnote w:type="continuationSeparator" w:id="0">
    <w:p w14:paraId="06B649E1" w14:textId="77777777" w:rsidR="004303E5" w:rsidRDefault="004303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7539E"/>
    <w:multiLevelType w:val="hybridMultilevel"/>
    <w:tmpl w:val="453EE1EC"/>
    <w:lvl w:ilvl="0" w:tplc="FFFFFFFF">
      <w:start w:val="1"/>
      <w:numFmt w:val="bullet"/>
      <w:lvlText w:val=""/>
      <w:lvlJc w:val="left"/>
      <w:pPr>
        <w:tabs>
          <w:tab w:val="num" w:pos="420"/>
        </w:tabs>
        <w:ind w:left="420" w:hanging="360"/>
      </w:pPr>
      <w:rPr>
        <w:rFonts w:ascii="Symbol" w:hAnsi="Symbol" w:hint="default"/>
        <w:b w:val="0"/>
        <w:i w:val="0"/>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D674C"/>
    <w:multiLevelType w:val="hybridMultilevel"/>
    <w:tmpl w:val="BE707510"/>
    <w:lvl w:ilvl="0" w:tplc="56FC69BA">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056A19"/>
    <w:multiLevelType w:val="hybridMultilevel"/>
    <w:tmpl w:val="10E0C59A"/>
    <w:lvl w:ilvl="0" w:tplc="04090003">
      <w:start w:val="1"/>
      <w:numFmt w:val="bullet"/>
      <w:lvlText w:val="o"/>
      <w:lvlJc w:val="left"/>
      <w:pPr>
        <w:ind w:left="1080" w:hanging="360"/>
      </w:pPr>
      <w:rPr>
        <w:rFonts w:ascii="Courier New" w:hAnsi="Courier New" w:cs="Courier New" w:hint="default"/>
        <w:color w:val="000000" w:themeColor="text1"/>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386EE2"/>
    <w:multiLevelType w:val="hybridMultilevel"/>
    <w:tmpl w:val="36DA9E9A"/>
    <w:lvl w:ilvl="0" w:tplc="3C2A72F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444A85"/>
    <w:multiLevelType w:val="hybridMultilevel"/>
    <w:tmpl w:val="072C7524"/>
    <w:lvl w:ilvl="0" w:tplc="04090003">
      <w:start w:val="1"/>
      <w:numFmt w:val="bullet"/>
      <w:lvlText w:val="o"/>
      <w:lvlJc w:val="left"/>
      <w:pPr>
        <w:ind w:left="1080" w:hanging="360"/>
      </w:pPr>
      <w:rPr>
        <w:rFonts w:ascii="Courier New" w:hAnsi="Courier New" w:cs="Courier New"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6EE211E"/>
    <w:multiLevelType w:val="hybridMultilevel"/>
    <w:tmpl w:val="76C8396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26EF5652"/>
    <w:multiLevelType w:val="hybridMultilevel"/>
    <w:tmpl w:val="D8E4207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EE204C"/>
    <w:multiLevelType w:val="hybridMultilevel"/>
    <w:tmpl w:val="45903916"/>
    <w:lvl w:ilvl="0" w:tplc="7F9C13BC">
      <w:start w:val="1"/>
      <w:numFmt w:val="decimal"/>
      <w:lvlText w:val="%1."/>
      <w:lvlJc w:val="left"/>
      <w:pPr>
        <w:ind w:left="1080" w:hanging="360"/>
      </w:pPr>
      <w:rPr>
        <w:rFonts w:ascii="Arial" w:eastAsia="Times New Roman"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6354005"/>
    <w:multiLevelType w:val="multilevel"/>
    <w:tmpl w:val="69F2BFDC"/>
    <w:lvl w:ilvl="0">
      <w:start w:val="1"/>
      <w:numFmt w:val="decimal"/>
      <w:lvlText w:val="Chapter %1:"/>
      <w:lvlJc w:val="left"/>
      <w:pPr>
        <w:tabs>
          <w:tab w:val="num" w:pos="2160"/>
        </w:tabs>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decimal"/>
      <w:pStyle w:val="Heading3"/>
      <w:lvlText w:val="%1.%2.%3."/>
      <w:lvlJc w:val="left"/>
      <w:pPr>
        <w:tabs>
          <w:tab w:val="num" w:pos="1080"/>
        </w:tabs>
        <w:ind w:left="648" w:hanging="648"/>
      </w:pPr>
      <w:rPr>
        <w:rFonts w:hint="default"/>
      </w:rPr>
    </w:lvl>
    <w:lvl w:ilvl="3">
      <w:start w:val="1"/>
      <w:numFmt w:val="decimal"/>
      <w:pStyle w:val="Heading4"/>
      <w:lvlText w:val="%1.%2.%3.%4."/>
      <w:lvlJc w:val="left"/>
      <w:pPr>
        <w:tabs>
          <w:tab w:val="num" w:pos="1440"/>
        </w:tabs>
        <w:ind w:left="1440" w:hanging="144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39A65C55"/>
    <w:multiLevelType w:val="hybridMultilevel"/>
    <w:tmpl w:val="71F2ED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EF6359E"/>
    <w:multiLevelType w:val="hybridMultilevel"/>
    <w:tmpl w:val="7C461EB8"/>
    <w:lvl w:ilvl="0" w:tplc="AB1868C4">
      <w:start w:val="1"/>
      <w:numFmt w:val="bullet"/>
      <w:pStyle w:val="BULLETS"/>
      <w:lvlText w:val=""/>
      <w:lvlJc w:val="left"/>
      <w:pPr>
        <w:ind w:left="720" w:hanging="360"/>
      </w:pPr>
      <w:rPr>
        <w:rFonts w:ascii="Symbol" w:hAnsi="Symbol" w:hint="default"/>
        <w:b w:val="0"/>
        <w:i w:val="0"/>
        <w:sz w:val="16"/>
        <w:szCs w:val="16"/>
      </w:rPr>
    </w:lvl>
    <w:lvl w:ilvl="1" w:tplc="04090003">
      <w:start w:val="1"/>
      <w:numFmt w:val="bullet"/>
      <w:lvlText w:val="o"/>
      <w:lvlJc w:val="left"/>
      <w:pPr>
        <w:tabs>
          <w:tab w:val="num" w:pos="1800"/>
        </w:tabs>
        <w:ind w:left="1800" w:hanging="360"/>
      </w:pPr>
      <w:rPr>
        <w:rFonts w:ascii="Courier New" w:hAnsi="Courier New" w:cs="Symbol"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6D33F72"/>
    <w:multiLevelType w:val="hybridMultilevel"/>
    <w:tmpl w:val="3A7278C4"/>
    <w:lvl w:ilvl="0" w:tplc="FFFFFFFF">
      <w:start w:val="1"/>
      <w:numFmt w:val="bullet"/>
      <w:lvlText w:val=""/>
      <w:lvlJc w:val="left"/>
      <w:pPr>
        <w:tabs>
          <w:tab w:val="num" w:pos="420"/>
        </w:tabs>
        <w:ind w:left="420" w:hanging="360"/>
      </w:pPr>
      <w:rPr>
        <w:rFonts w:ascii="Symbol" w:hAnsi="Symbol" w:hint="default"/>
        <w:b w:val="0"/>
        <w:i w:val="0"/>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8B55B6"/>
    <w:multiLevelType w:val="hybridMultilevel"/>
    <w:tmpl w:val="921246E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BFD7147"/>
    <w:multiLevelType w:val="hybridMultilevel"/>
    <w:tmpl w:val="FF1EA5D2"/>
    <w:lvl w:ilvl="0" w:tplc="FFFFFFFF">
      <w:start w:val="1"/>
      <w:numFmt w:val="bullet"/>
      <w:pStyle w:val="Box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6AD0257"/>
    <w:multiLevelType w:val="hybridMultilevel"/>
    <w:tmpl w:val="DE02A976"/>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5" w15:restartNumberingAfterBreak="0">
    <w:nsid w:val="5784376A"/>
    <w:multiLevelType w:val="multilevel"/>
    <w:tmpl w:val="500C3A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8364BE8"/>
    <w:multiLevelType w:val="hybridMultilevel"/>
    <w:tmpl w:val="68108DF4"/>
    <w:lvl w:ilvl="0" w:tplc="31CCD11E">
      <w:start w:val="1"/>
      <w:numFmt w:val="bullet"/>
      <w:pStyle w:val="3BULLETarial11"/>
      <w:lvlText w:val=""/>
      <w:lvlJc w:val="left"/>
      <w:pPr>
        <w:ind w:left="720" w:hanging="360"/>
      </w:pPr>
      <w:rPr>
        <w:rFonts w:ascii="Symbol" w:hAnsi="Symbol"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BE3F4C"/>
    <w:multiLevelType w:val="hybridMultilevel"/>
    <w:tmpl w:val="301AD3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EB46630"/>
    <w:multiLevelType w:val="hybridMultilevel"/>
    <w:tmpl w:val="FF6679C6"/>
    <w:lvl w:ilvl="0" w:tplc="1A8A65F4">
      <w:start w:val="1"/>
      <w:numFmt w:val="bullet"/>
      <w:lvlText w:val=""/>
      <w:lvlJc w:val="left"/>
      <w:pPr>
        <w:ind w:left="720" w:hanging="360"/>
      </w:pPr>
      <w:rPr>
        <w:rFonts w:ascii="Symbol" w:hAnsi="Symbol" w:hint="default"/>
        <w:color w:val="000000" w:themeColor="text1"/>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621F61"/>
    <w:multiLevelType w:val="hybridMultilevel"/>
    <w:tmpl w:val="114CD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E7768D"/>
    <w:multiLevelType w:val="hybridMultilevel"/>
    <w:tmpl w:val="1258FE5A"/>
    <w:lvl w:ilvl="0" w:tplc="2C10D48E">
      <w:start w:val="1"/>
      <w:numFmt w:val="bullet"/>
      <w:pStyle w:val="Box2"/>
      <w:lvlText w:val="-"/>
      <w:lvlJc w:val="left"/>
      <w:pPr>
        <w:tabs>
          <w:tab w:val="num" w:pos="1080"/>
        </w:tabs>
        <w:ind w:left="1080" w:hanging="360"/>
      </w:pPr>
      <w:rPr>
        <w:rFonts w:hAnsi="Aria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3A1637D"/>
    <w:multiLevelType w:val="hybridMultilevel"/>
    <w:tmpl w:val="0B5AEC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682567F"/>
    <w:multiLevelType w:val="hybridMultilevel"/>
    <w:tmpl w:val="21D410A6"/>
    <w:lvl w:ilvl="0" w:tplc="04090003">
      <w:start w:val="1"/>
      <w:numFmt w:val="bullet"/>
      <w:lvlText w:val="o"/>
      <w:lvlJc w:val="left"/>
      <w:pPr>
        <w:ind w:left="1080" w:hanging="360"/>
      </w:pPr>
      <w:rPr>
        <w:rFonts w:ascii="Courier New" w:hAnsi="Courier New" w:cs="Courier New" w:hint="default"/>
        <w:color w:val="000000" w:themeColor="text1"/>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90F31A1"/>
    <w:multiLevelType w:val="hybridMultilevel"/>
    <w:tmpl w:val="78E0B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A32B11"/>
    <w:multiLevelType w:val="hybridMultilevel"/>
    <w:tmpl w:val="EF88F6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E102B49"/>
    <w:multiLevelType w:val="hybridMultilevel"/>
    <w:tmpl w:val="76201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8F3D3B"/>
    <w:multiLevelType w:val="hybridMultilevel"/>
    <w:tmpl w:val="6ECC0F9A"/>
    <w:lvl w:ilvl="0" w:tplc="2C10D48E">
      <w:start w:val="1"/>
      <w:numFmt w:val="bullet"/>
      <w:pStyle w:val="Box"/>
      <w:lvlText w:val=""/>
      <w:lvlJc w:val="left"/>
      <w:pPr>
        <w:tabs>
          <w:tab w:val="num" w:pos="360"/>
        </w:tabs>
        <w:ind w:left="360" w:hanging="360"/>
      </w:pPr>
      <w:rPr>
        <w:rFonts w:ascii="Wingdings" w:hAnsi="Wingdings" w:hint="default"/>
        <w:b/>
        <w:i w:val="0"/>
        <w:sz w:val="24"/>
      </w:rPr>
    </w:lvl>
    <w:lvl w:ilvl="1" w:tplc="04090003">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1A63FBB"/>
    <w:multiLevelType w:val="hybridMultilevel"/>
    <w:tmpl w:val="431E4B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2935234"/>
    <w:multiLevelType w:val="hybridMultilevel"/>
    <w:tmpl w:val="9DC4D5C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4B923B2"/>
    <w:multiLevelType w:val="hybridMultilevel"/>
    <w:tmpl w:val="2D6A8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7564F6"/>
    <w:multiLevelType w:val="hybridMultilevel"/>
    <w:tmpl w:val="00CE34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AD92E75"/>
    <w:multiLevelType w:val="hybridMultilevel"/>
    <w:tmpl w:val="1B108B70"/>
    <w:lvl w:ilvl="0" w:tplc="8090965A">
      <w:start w:val="1"/>
      <w:numFmt w:val="bullet"/>
      <w:pStyle w:val="2Bulletedlist-Arial1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8"/>
  </w:num>
  <w:num w:numId="3">
    <w:abstractNumId w:val="20"/>
  </w:num>
  <w:num w:numId="4">
    <w:abstractNumId w:val="13"/>
  </w:num>
  <w:num w:numId="5">
    <w:abstractNumId w:val="9"/>
  </w:num>
  <w:num w:numId="6">
    <w:abstractNumId w:val="24"/>
  </w:num>
  <w:num w:numId="7">
    <w:abstractNumId w:val="5"/>
  </w:num>
  <w:num w:numId="8">
    <w:abstractNumId w:val="12"/>
  </w:num>
  <w:num w:numId="9">
    <w:abstractNumId w:val="21"/>
  </w:num>
  <w:num w:numId="10">
    <w:abstractNumId w:val="28"/>
  </w:num>
  <w:num w:numId="11">
    <w:abstractNumId w:val="11"/>
  </w:num>
  <w:num w:numId="12">
    <w:abstractNumId w:val="0"/>
  </w:num>
  <w:num w:numId="13">
    <w:abstractNumId w:val="7"/>
  </w:num>
  <w:num w:numId="14">
    <w:abstractNumId w:val="6"/>
  </w:num>
  <w:num w:numId="15">
    <w:abstractNumId w:val="14"/>
  </w:num>
  <w:num w:numId="16">
    <w:abstractNumId w:val="1"/>
  </w:num>
  <w:num w:numId="17">
    <w:abstractNumId w:val="3"/>
  </w:num>
  <w:num w:numId="18">
    <w:abstractNumId w:val="17"/>
  </w:num>
  <w:num w:numId="19">
    <w:abstractNumId w:val="15"/>
  </w:num>
  <w:num w:numId="20">
    <w:abstractNumId w:val="27"/>
  </w:num>
  <w:num w:numId="21">
    <w:abstractNumId w:val="16"/>
  </w:num>
  <w:num w:numId="22">
    <w:abstractNumId w:val="4"/>
  </w:num>
  <w:num w:numId="23">
    <w:abstractNumId w:val="23"/>
  </w:num>
  <w:num w:numId="24">
    <w:abstractNumId w:val="18"/>
  </w:num>
  <w:num w:numId="25">
    <w:abstractNumId w:val="22"/>
  </w:num>
  <w:num w:numId="26">
    <w:abstractNumId w:val="2"/>
  </w:num>
  <w:num w:numId="27">
    <w:abstractNumId w:val="30"/>
  </w:num>
  <w:num w:numId="28">
    <w:abstractNumId w:val="10"/>
  </w:num>
  <w:num w:numId="29">
    <w:abstractNumId w:val="19"/>
  </w:num>
  <w:num w:numId="30">
    <w:abstractNumId w:val="10"/>
  </w:num>
  <w:num w:numId="31">
    <w:abstractNumId w:val="31"/>
  </w:num>
  <w:num w:numId="32">
    <w:abstractNumId w:val="29"/>
  </w:num>
  <w:num w:numId="33">
    <w:abstractNumId w:val="25"/>
  </w:num>
  <w:num w:numId="34">
    <w:abstractNumId w:val="16"/>
  </w:num>
  <w:num w:numId="35">
    <w:abstractNumId w:val="16"/>
  </w:num>
  <w:num w:numId="36">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5E6"/>
    <w:rsid w:val="0000191A"/>
    <w:rsid w:val="00001AFE"/>
    <w:rsid w:val="00001CD7"/>
    <w:rsid w:val="0000528D"/>
    <w:rsid w:val="0000548C"/>
    <w:rsid w:val="0000749E"/>
    <w:rsid w:val="000078A5"/>
    <w:rsid w:val="00013927"/>
    <w:rsid w:val="00016779"/>
    <w:rsid w:val="00031792"/>
    <w:rsid w:val="0003636D"/>
    <w:rsid w:val="000364E4"/>
    <w:rsid w:val="00040C92"/>
    <w:rsid w:val="000447C3"/>
    <w:rsid w:val="00046705"/>
    <w:rsid w:val="00050363"/>
    <w:rsid w:val="00052C59"/>
    <w:rsid w:val="0005582C"/>
    <w:rsid w:val="000573E6"/>
    <w:rsid w:val="000630FD"/>
    <w:rsid w:val="00064394"/>
    <w:rsid w:val="00064649"/>
    <w:rsid w:val="00072098"/>
    <w:rsid w:val="00072D56"/>
    <w:rsid w:val="00073335"/>
    <w:rsid w:val="000747FE"/>
    <w:rsid w:val="000823E7"/>
    <w:rsid w:val="00084AEC"/>
    <w:rsid w:val="00086B8F"/>
    <w:rsid w:val="00086DE6"/>
    <w:rsid w:val="00087906"/>
    <w:rsid w:val="00091307"/>
    <w:rsid w:val="00091AA6"/>
    <w:rsid w:val="00092E27"/>
    <w:rsid w:val="0009303F"/>
    <w:rsid w:val="000939B7"/>
    <w:rsid w:val="00093A63"/>
    <w:rsid w:val="00096688"/>
    <w:rsid w:val="00097087"/>
    <w:rsid w:val="00097222"/>
    <w:rsid w:val="000974D5"/>
    <w:rsid w:val="000A2774"/>
    <w:rsid w:val="000A4A1E"/>
    <w:rsid w:val="000A553E"/>
    <w:rsid w:val="000A5ACC"/>
    <w:rsid w:val="000A5C3B"/>
    <w:rsid w:val="000B1167"/>
    <w:rsid w:val="000B1C45"/>
    <w:rsid w:val="000B5F52"/>
    <w:rsid w:val="000B65F0"/>
    <w:rsid w:val="000B7512"/>
    <w:rsid w:val="000C01A6"/>
    <w:rsid w:val="000C1904"/>
    <w:rsid w:val="000C55B4"/>
    <w:rsid w:val="000C6387"/>
    <w:rsid w:val="000C641A"/>
    <w:rsid w:val="000D0026"/>
    <w:rsid w:val="000D3BC8"/>
    <w:rsid w:val="000D4DC6"/>
    <w:rsid w:val="000E030B"/>
    <w:rsid w:val="000E2E38"/>
    <w:rsid w:val="000E4CFF"/>
    <w:rsid w:val="000E78F2"/>
    <w:rsid w:val="000F3B00"/>
    <w:rsid w:val="000F5690"/>
    <w:rsid w:val="000F648F"/>
    <w:rsid w:val="000F7AE8"/>
    <w:rsid w:val="00101595"/>
    <w:rsid w:val="001025D9"/>
    <w:rsid w:val="00103B18"/>
    <w:rsid w:val="001140FD"/>
    <w:rsid w:val="00116E70"/>
    <w:rsid w:val="001171FE"/>
    <w:rsid w:val="00117231"/>
    <w:rsid w:val="00117ED3"/>
    <w:rsid w:val="00121790"/>
    <w:rsid w:val="00121D17"/>
    <w:rsid w:val="0012261F"/>
    <w:rsid w:val="0012575E"/>
    <w:rsid w:val="00126014"/>
    <w:rsid w:val="00127CAE"/>
    <w:rsid w:val="00131659"/>
    <w:rsid w:val="0013182E"/>
    <w:rsid w:val="001335CA"/>
    <w:rsid w:val="001351EE"/>
    <w:rsid w:val="00135E7C"/>
    <w:rsid w:val="001363E2"/>
    <w:rsid w:val="001375DD"/>
    <w:rsid w:val="00145222"/>
    <w:rsid w:val="00145347"/>
    <w:rsid w:val="00146FD7"/>
    <w:rsid w:val="00147968"/>
    <w:rsid w:val="001509D0"/>
    <w:rsid w:val="00151004"/>
    <w:rsid w:val="001524AE"/>
    <w:rsid w:val="00155C8D"/>
    <w:rsid w:val="001567AE"/>
    <w:rsid w:val="001569F9"/>
    <w:rsid w:val="00160867"/>
    <w:rsid w:val="00166C7D"/>
    <w:rsid w:val="0016776F"/>
    <w:rsid w:val="00170277"/>
    <w:rsid w:val="001711B1"/>
    <w:rsid w:val="00173EAB"/>
    <w:rsid w:val="0017498C"/>
    <w:rsid w:val="00177B29"/>
    <w:rsid w:val="001821F4"/>
    <w:rsid w:val="001832F4"/>
    <w:rsid w:val="001834D7"/>
    <w:rsid w:val="001836C2"/>
    <w:rsid w:val="00190381"/>
    <w:rsid w:val="00191EA6"/>
    <w:rsid w:val="001931AF"/>
    <w:rsid w:val="001A413C"/>
    <w:rsid w:val="001A6A85"/>
    <w:rsid w:val="001A7ADC"/>
    <w:rsid w:val="001B651C"/>
    <w:rsid w:val="001C0488"/>
    <w:rsid w:val="001C1428"/>
    <w:rsid w:val="001C3FFF"/>
    <w:rsid w:val="001C63D6"/>
    <w:rsid w:val="001C6CC4"/>
    <w:rsid w:val="001D1522"/>
    <w:rsid w:val="001D200D"/>
    <w:rsid w:val="001D2EF9"/>
    <w:rsid w:val="001D30B4"/>
    <w:rsid w:val="001D3907"/>
    <w:rsid w:val="001D420C"/>
    <w:rsid w:val="001D4FAC"/>
    <w:rsid w:val="001D74CD"/>
    <w:rsid w:val="001E095E"/>
    <w:rsid w:val="001E1479"/>
    <w:rsid w:val="001E22CD"/>
    <w:rsid w:val="001E2BD7"/>
    <w:rsid w:val="001F146D"/>
    <w:rsid w:val="001F1AD1"/>
    <w:rsid w:val="001F2C36"/>
    <w:rsid w:val="001F2F00"/>
    <w:rsid w:val="001F31C0"/>
    <w:rsid w:val="00200929"/>
    <w:rsid w:val="002026D9"/>
    <w:rsid w:val="002044F2"/>
    <w:rsid w:val="0020535E"/>
    <w:rsid w:val="002102BE"/>
    <w:rsid w:val="002104AC"/>
    <w:rsid w:val="0021057F"/>
    <w:rsid w:val="002128DC"/>
    <w:rsid w:val="00212B71"/>
    <w:rsid w:val="00214DB2"/>
    <w:rsid w:val="002157C5"/>
    <w:rsid w:val="002162C3"/>
    <w:rsid w:val="00216BA2"/>
    <w:rsid w:val="0021794F"/>
    <w:rsid w:val="00220543"/>
    <w:rsid w:val="00220DF7"/>
    <w:rsid w:val="00221302"/>
    <w:rsid w:val="002217D4"/>
    <w:rsid w:val="00223383"/>
    <w:rsid w:val="00223DD2"/>
    <w:rsid w:val="0022462A"/>
    <w:rsid w:val="00227B08"/>
    <w:rsid w:val="002312A2"/>
    <w:rsid w:val="00232409"/>
    <w:rsid w:val="00235002"/>
    <w:rsid w:val="002360E6"/>
    <w:rsid w:val="00237844"/>
    <w:rsid w:val="002401F9"/>
    <w:rsid w:val="00240340"/>
    <w:rsid w:val="00240D8A"/>
    <w:rsid w:val="0024239A"/>
    <w:rsid w:val="0024309F"/>
    <w:rsid w:val="0024402D"/>
    <w:rsid w:val="00246BCC"/>
    <w:rsid w:val="00246F14"/>
    <w:rsid w:val="002527A5"/>
    <w:rsid w:val="00252EF2"/>
    <w:rsid w:val="00254885"/>
    <w:rsid w:val="00254FFD"/>
    <w:rsid w:val="00256C0F"/>
    <w:rsid w:val="002575D1"/>
    <w:rsid w:val="0026140E"/>
    <w:rsid w:val="00261A32"/>
    <w:rsid w:val="00267E42"/>
    <w:rsid w:val="00272E76"/>
    <w:rsid w:val="00274184"/>
    <w:rsid w:val="002762DE"/>
    <w:rsid w:val="002765AC"/>
    <w:rsid w:val="00280CF9"/>
    <w:rsid w:val="002840FC"/>
    <w:rsid w:val="00284C7B"/>
    <w:rsid w:val="00284FDF"/>
    <w:rsid w:val="0028541E"/>
    <w:rsid w:val="00286C1C"/>
    <w:rsid w:val="002924BF"/>
    <w:rsid w:val="00297178"/>
    <w:rsid w:val="002A10B9"/>
    <w:rsid w:val="002A1B11"/>
    <w:rsid w:val="002A4029"/>
    <w:rsid w:val="002A6FC3"/>
    <w:rsid w:val="002B322B"/>
    <w:rsid w:val="002B4BC5"/>
    <w:rsid w:val="002B6DBE"/>
    <w:rsid w:val="002C4BE7"/>
    <w:rsid w:val="002D1227"/>
    <w:rsid w:val="002D33FF"/>
    <w:rsid w:val="002D5104"/>
    <w:rsid w:val="002D69DF"/>
    <w:rsid w:val="002D7C02"/>
    <w:rsid w:val="002E0BA6"/>
    <w:rsid w:val="002E18F0"/>
    <w:rsid w:val="002E6A7B"/>
    <w:rsid w:val="002F008D"/>
    <w:rsid w:val="002F28FB"/>
    <w:rsid w:val="002F4318"/>
    <w:rsid w:val="002F6910"/>
    <w:rsid w:val="002F6F48"/>
    <w:rsid w:val="00300515"/>
    <w:rsid w:val="00301B5C"/>
    <w:rsid w:val="0030240B"/>
    <w:rsid w:val="0030421E"/>
    <w:rsid w:val="00307A3D"/>
    <w:rsid w:val="003101B1"/>
    <w:rsid w:val="003113EC"/>
    <w:rsid w:val="003135E9"/>
    <w:rsid w:val="00313722"/>
    <w:rsid w:val="0032084B"/>
    <w:rsid w:val="0032154C"/>
    <w:rsid w:val="0032233F"/>
    <w:rsid w:val="00322733"/>
    <w:rsid w:val="00326790"/>
    <w:rsid w:val="00327646"/>
    <w:rsid w:val="003276E7"/>
    <w:rsid w:val="00327C7F"/>
    <w:rsid w:val="00327FF2"/>
    <w:rsid w:val="0033046D"/>
    <w:rsid w:val="00330486"/>
    <w:rsid w:val="003334E3"/>
    <w:rsid w:val="00334B62"/>
    <w:rsid w:val="0033504C"/>
    <w:rsid w:val="003350C4"/>
    <w:rsid w:val="0033728A"/>
    <w:rsid w:val="003404CE"/>
    <w:rsid w:val="00340C90"/>
    <w:rsid w:val="00340CF0"/>
    <w:rsid w:val="00341188"/>
    <w:rsid w:val="003427DB"/>
    <w:rsid w:val="003451FF"/>
    <w:rsid w:val="00350B1C"/>
    <w:rsid w:val="003517DD"/>
    <w:rsid w:val="00352094"/>
    <w:rsid w:val="003534DB"/>
    <w:rsid w:val="00353ADB"/>
    <w:rsid w:val="00353FE9"/>
    <w:rsid w:val="003545CC"/>
    <w:rsid w:val="00357E4B"/>
    <w:rsid w:val="00360F4C"/>
    <w:rsid w:val="003619A0"/>
    <w:rsid w:val="0036450E"/>
    <w:rsid w:val="00364747"/>
    <w:rsid w:val="00367BC3"/>
    <w:rsid w:val="00371125"/>
    <w:rsid w:val="0037195C"/>
    <w:rsid w:val="00373C66"/>
    <w:rsid w:val="003756F1"/>
    <w:rsid w:val="003757F8"/>
    <w:rsid w:val="00375B73"/>
    <w:rsid w:val="00376CCD"/>
    <w:rsid w:val="00376DD6"/>
    <w:rsid w:val="00377563"/>
    <w:rsid w:val="003809BB"/>
    <w:rsid w:val="00380E9D"/>
    <w:rsid w:val="00382ECA"/>
    <w:rsid w:val="00390AA7"/>
    <w:rsid w:val="00391267"/>
    <w:rsid w:val="00392CA2"/>
    <w:rsid w:val="00393DD8"/>
    <w:rsid w:val="00396F3E"/>
    <w:rsid w:val="003A115D"/>
    <w:rsid w:val="003A14DB"/>
    <w:rsid w:val="003A784F"/>
    <w:rsid w:val="003B300C"/>
    <w:rsid w:val="003B34C1"/>
    <w:rsid w:val="003B39B2"/>
    <w:rsid w:val="003B5420"/>
    <w:rsid w:val="003B57AD"/>
    <w:rsid w:val="003C4A23"/>
    <w:rsid w:val="003C73DE"/>
    <w:rsid w:val="003D0D56"/>
    <w:rsid w:val="003D20FD"/>
    <w:rsid w:val="003D3545"/>
    <w:rsid w:val="003D3550"/>
    <w:rsid w:val="003D3852"/>
    <w:rsid w:val="003D42E2"/>
    <w:rsid w:val="003D451E"/>
    <w:rsid w:val="003D5675"/>
    <w:rsid w:val="003D5B02"/>
    <w:rsid w:val="003E1145"/>
    <w:rsid w:val="003E2190"/>
    <w:rsid w:val="003E6FB5"/>
    <w:rsid w:val="003E72B7"/>
    <w:rsid w:val="003F2AE5"/>
    <w:rsid w:val="003F31FD"/>
    <w:rsid w:val="003F4DF4"/>
    <w:rsid w:val="0040075C"/>
    <w:rsid w:val="00410D1F"/>
    <w:rsid w:val="00414B6E"/>
    <w:rsid w:val="00415364"/>
    <w:rsid w:val="00416663"/>
    <w:rsid w:val="00416B12"/>
    <w:rsid w:val="004179E0"/>
    <w:rsid w:val="00420A93"/>
    <w:rsid w:val="00421197"/>
    <w:rsid w:val="00421493"/>
    <w:rsid w:val="00422DF3"/>
    <w:rsid w:val="00424385"/>
    <w:rsid w:val="004243FB"/>
    <w:rsid w:val="004244A2"/>
    <w:rsid w:val="00425A4A"/>
    <w:rsid w:val="004303E5"/>
    <w:rsid w:val="00432D1A"/>
    <w:rsid w:val="004362C4"/>
    <w:rsid w:val="0043630C"/>
    <w:rsid w:val="004424AD"/>
    <w:rsid w:val="0044273B"/>
    <w:rsid w:val="00443460"/>
    <w:rsid w:val="0044466C"/>
    <w:rsid w:val="004446BA"/>
    <w:rsid w:val="00445BEF"/>
    <w:rsid w:val="00445FC3"/>
    <w:rsid w:val="0044656A"/>
    <w:rsid w:val="00447A2F"/>
    <w:rsid w:val="0045258E"/>
    <w:rsid w:val="00452D73"/>
    <w:rsid w:val="00452EE0"/>
    <w:rsid w:val="00453065"/>
    <w:rsid w:val="0045318F"/>
    <w:rsid w:val="00453610"/>
    <w:rsid w:val="004539E5"/>
    <w:rsid w:val="00453BAE"/>
    <w:rsid w:val="004547B2"/>
    <w:rsid w:val="00454E4C"/>
    <w:rsid w:val="00463E38"/>
    <w:rsid w:val="0046507C"/>
    <w:rsid w:val="00466A22"/>
    <w:rsid w:val="0046729E"/>
    <w:rsid w:val="00473438"/>
    <w:rsid w:val="00473620"/>
    <w:rsid w:val="0047607D"/>
    <w:rsid w:val="00476769"/>
    <w:rsid w:val="00476F4E"/>
    <w:rsid w:val="00480E1C"/>
    <w:rsid w:val="00481ED6"/>
    <w:rsid w:val="00482CC7"/>
    <w:rsid w:val="00482CF4"/>
    <w:rsid w:val="00483350"/>
    <w:rsid w:val="00484CEE"/>
    <w:rsid w:val="0048542C"/>
    <w:rsid w:val="004858D8"/>
    <w:rsid w:val="004978D0"/>
    <w:rsid w:val="004A1C04"/>
    <w:rsid w:val="004B0B01"/>
    <w:rsid w:val="004B2E31"/>
    <w:rsid w:val="004B34F9"/>
    <w:rsid w:val="004B3D75"/>
    <w:rsid w:val="004B3DFB"/>
    <w:rsid w:val="004B41A5"/>
    <w:rsid w:val="004B5C61"/>
    <w:rsid w:val="004C3104"/>
    <w:rsid w:val="004C4B5F"/>
    <w:rsid w:val="004D09A1"/>
    <w:rsid w:val="004D0A08"/>
    <w:rsid w:val="004D0C35"/>
    <w:rsid w:val="004D0DEF"/>
    <w:rsid w:val="004D48BC"/>
    <w:rsid w:val="004E1473"/>
    <w:rsid w:val="004E16B5"/>
    <w:rsid w:val="004E20B2"/>
    <w:rsid w:val="004E3D70"/>
    <w:rsid w:val="004E45FE"/>
    <w:rsid w:val="004E536D"/>
    <w:rsid w:val="004E5791"/>
    <w:rsid w:val="004E5E32"/>
    <w:rsid w:val="004E61D4"/>
    <w:rsid w:val="004F1437"/>
    <w:rsid w:val="004F2388"/>
    <w:rsid w:val="004F3905"/>
    <w:rsid w:val="004F435B"/>
    <w:rsid w:val="004F4FD5"/>
    <w:rsid w:val="004F5AE5"/>
    <w:rsid w:val="005006CB"/>
    <w:rsid w:val="0050171B"/>
    <w:rsid w:val="00502B4A"/>
    <w:rsid w:val="0050351A"/>
    <w:rsid w:val="0050366F"/>
    <w:rsid w:val="00503745"/>
    <w:rsid w:val="0050409C"/>
    <w:rsid w:val="00504309"/>
    <w:rsid w:val="005053D1"/>
    <w:rsid w:val="005060C3"/>
    <w:rsid w:val="00506977"/>
    <w:rsid w:val="00507ABE"/>
    <w:rsid w:val="005100B9"/>
    <w:rsid w:val="0051399E"/>
    <w:rsid w:val="00516A75"/>
    <w:rsid w:val="00516EA6"/>
    <w:rsid w:val="00517D09"/>
    <w:rsid w:val="00522711"/>
    <w:rsid w:val="00525968"/>
    <w:rsid w:val="005301F1"/>
    <w:rsid w:val="00533CF2"/>
    <w:rsid w:val="005513D7"/>
    <w:rsid w:val="00552FB2"/>
    <w:rsid w:val="00553EA1"/>
    <w:rsid w:val="00554042"/>
    <w:rsid w:val="005546C1"/>
    <w:rsid w:val="00555237"/>
    <w:rsid w:val="005558A9"/>
    <w:rsid w:val="00555935"/>
    <w:rsid w:val="0055703C"/>
    <w:rsid w:val="00564144"/>
    <w:rsid w:val="00565B71"/>
    <w:rsid w:val="00570373"/>
    <w:rsid w:val="00572D77"/>
    <w:rsid w:val="00576097"/>
    <w:rsid w:val="0058163D"/>
    <w:rsid w:val="00582E43"/>
    <w:rsid w:val="005845D4"/>
    <w:rsid w:val="00584E3D"/>
    <w:rsid w:val="005873EC"/>
    <w:rsid w:val="00590D24"/>
    <w:rsid w:val="00591372"/>
    <w:rsid w:val="005916CA"/>
    <w:rsid w:val="0059198C"/>
    <w:rsid w:val="005970E9"/>
    <w:rsid w:val="005A2005"/>
    <w:rsid w:val="005A5CBB"/>
    <w:rsid w:val="005A6E40"/>
    <w:rsid w:val="005A7794"/>
    <w:rsid w:val="005B0CD9"/>
    <w:rsid w:val="005B13BB"/>
    <w:rsid w:val="005B3C69"/>
    <w:rsid w:val="005B4AA3"/>
    <w:rsid w:val="005B4F41"/>
    <w:rsid w:val="005B6475"/>
    <w:rsid w:val="005B6D4B"/>
    <w:rsid w:val="005C3EE1"/>
    <w:rsid w:val="005C66EB"/>
    <w:rsid w:val="005D1C7C"/>
    <w:rsid w:val="005D3414"/>
    <w:rsid w:val="005D3CE3"/>
    <w:rsid w:val="005D44B5"/>
    <w:rsid w:val="005D5A0C"/>
    <w:rsid w:val="005E43A5"/>
    <w:rsid w:val="005E6C97"/>
    <w:rsid w:val="005E7CD7"/>
    <w:rsid w:val="005F3D22"/>
    <w:rsid w:val="005F4E46"/>
    <w:rsid w:val="005F4F54"/>
    <w:rsid w:val="005F6DA6"/>
    <w:rsid w:val="006041A9"/>
    <w:rsid w:val="006042E5"/>
    <w:rsid w:val="00605238"/>
    <w:rsid w:val="00606514"/>
    <w:rsid w:val="006103BE"/>
    <w:rsid w:val="006120D8"/>
    <w:rsid w:val="006158D9"/>
    <w:rsid w:val="00616526"/>
    <w:rsid w:val="00617161"/>
    <w:rsid w:val="0062167E"/>
    <w:rsid w:val="006220E4"/>
    <w:rsid w:val="006269AE"/>
    <w:rsid w:val="0062748E"/>
    <w:rsid w:val="00632021"/>
    <w:rsid w:val="00633F97"/>
    <w:rsid w:val="00635330"/>
    <w:rsid w:val="006362EC"/>
    <w:rsid w:val="00643079"/>
    <w:rsid w:val="00644214"/>
    <w:rsid w:val="00647772"/>
    <w:rsid w:val="00652635"/>
    <w:rsid w:val="00653EBE"/>
    <w:rsid w:val="00654A63"/>
    <w:rsid w:val="00654A84"/>
    <w:rsid w:val="00656B03"/>
    <w:rsid w:val="00661CA5"/>
    <w:rsid w:val="0066296A"/>
    <w:rsid w:val="00665690"/>
    <w:rsid w:val="00667B11"/>
    <w:rsid w:val="00672F99"/>
    <w:rsid w:val="00677A9A"/>
    <w:rsid w:val="00677D4D"/>
    <w:rsid w:val="006804BF"/>
    <w:rsid w:val="00682009"/>
    <w:rsid w:val="006853ED"/>
    <w:rsid w:val="006857EB"/>
    <w:rsid w:val="006859B4"/>
    <w:rsid w:val="0068673A"/>
    <w:rsid w:val="00687DAE"/>
    <w:rsid w:val="00690BF6"/>
    <w:rsid w:val="006977CD"/>
    <w:rsid w:val="006A033F"/>
    <w:rsid w:val="006A229F"/>
    <w:rsid w:val="006A2B51"/>
    <w:rsid w:val="006A35A8"/>
    <w:rsid w:val="006A4C42"/>
    <w:rsid w:val="006A5A31"/>
    <w:rsid w:val="006A5A7D"/>
    <w:rsid w:val="006A6BEB"/>
    <w:rsid w:val="006B0FC4"/>
    <w:rsid w:val="006B2692"/>
    <w:rsid w:val="006B510F"/>
    <w:rsid w:val="006B6537"/>
    <w:rsid w:val="006C10EF"/>
    <w:rsid w:val="006C117C"/>
    <w:rsid w:val="006C1E3D"/>
    <w:rsid w:val="006C2733"/>
    <w:rsid w:val="006C2997"/>
    <w:rsid w:val="006C586A"/>
    <w:rsid w:val="006D12C5"/>
    <w:rsid w:val="006D42B0"/>
    <w:rsid w:val="006D42FB"/>
    <w:rsid w:val="006D4A92"/>
    <w:rsid w:val="006D5778"/>
    <w:rsid w:val="006D7CE3"/>
    <w:rsid w:val="006E44C2"/>
    <w:rsid w:val="006E6EEC"/>
    <w:rsid w:val="006F04CF"/>
    <w:rsid w:val="006F24C1"/>
    <w:rsid w:val="006F2CF9"/>
    <w:rsid w:val="006F3B86"/>
    <w:rsid w:val="006F4177"/>
    <w:rsid w:val="006F4AF2"/>
    <w:rsid w:val="00702551"/>
    <w:rsid w:val="0070419E"/>
    <w:rsid w:val="00704C26"/>
    <w:rsid w:val="007052A4"/>
    <w:rsid w:val="0070675C"/>
    <w:rsid w:val="0071066B"/>
    <w:rsid w:val="0071088B"/>
    <w:rsid w:val="00712A28"/>
    <w:rsid w:val="00712D7E"/>
    <w:rsid w:val="00717758"/>
    <w:rsid w:val="00724F2F"/>
    <w:rsid w:val="00725621"/>
    <w:rsid w:val="0073253C"/>
    <w:rsid w:val="0073353E"/>
    <w:rsid w:val="00734724"/>
    <w:rsid w:val="007405AA"/>
    <w:rsid w:val="00745B9E"/>
    <w:rsid w:val="00745CC2"/>
    <w:rsid w:val="00747F5A"/>
    <w:rsid w:val="00753BFB"/>
    <w:rsid w:val="00757ACD"/>
    <w:rsid w:val="00757FC7"/>
    <w:rsid w:val="007602CD"/>
    <w:rsid w:val="00763B0D"/>
    <w:rsid w:val="007650CC"/>
    <w:rsid w:val="00770C6B"/>
    <w:rsid w:val="0077215A"/>
    <w:rsid w:val="007753FA"/>
    <w:rsid w:val="007819CD"/>
    <w:rsid w:val="00782914"/>
    <w:rsid w:val="00782AD0"/>
    <w:rsid w:val="00784105"/>
    <w:rsid w:val="0078793F"/>
    <w:rsid w:val="00793711"/>
    <w:rsid w:val="0079507B"/>
    <w:rsid w:val="007958F6"/>
    <w:rsid w:val="00795F3C"/>
    <w:rsid w:val="00796223"/>
    <w:rsid w:val="007965EC"/>
    <w:rsid w:val="0079680D"/>
    <w:rsid w:val="00797C04"/>
    <w:rsid w:val="007A5197"/>
    <w:rsid w:val="007A58C0"/>
    <w:rsid w:val="007A616D"/>
    <w:rsid w:val="007A6F0E"/>
    <w:rsid w:val="007A7590"/>
    <w:rsid w:val="007A7CC4"/>
    <w:rsid w:val="007B04C8"/>
    <w:rsid w:val="007B10BE"/>
    <w:rsid w:val="007B5347"/>
    <w:rsid w:val="007C0214"/>
    <w:rsid w:val="007C1396"/>
    <w:rsid w:val="007C2B97"/>
    <w:rsid w:val="007C2E76"/>
    <w:rsid w:val="007C4902"/>
    <w:rsid w:val="007D17A8"/>
    <w:rsid w:val="007D22B8"/>
    <w:rsid w:val="007D46FB"/>
    <w:rsid w:val="007D5914"/>
    <w:rsid w:val="007D650C"/>
    <w:rsid w:val="007D6828"/>
    <w:rsid w:val="007E0334"/>
    <w:rsid w:val="007E1FC3"/>
    <w:rsid w:val="007E60EA"/>
    <w:rsid w:val="007E7179"/>
    <w:rsid w:val="007E737D"/>
    <w:rsid w:val="007F0F84"/>
    <w:rsid w:val="007F28BA"/>
    <w:rsid w:val="007F52C4"/>
    <w:rsid w:val="007F7171"/>
    <w:rsid w:val="007F75BF"/>
    <w:rsid w:val="007F7613"/>
    <w:rsid w:val="00803593"/>
    <w:rsid w:val="008049DE"/>
    <w:rsid w:val="00806589"/>
    <w:rsid w:val="00811801"/>
    <w:rsid w:val="00811D6C"/>
    <w:rsid w:val="00813B00"/>
    <w:rsid w:val="00816188"/>
    <w:rsid w:val="00816EAA"/>
    <w:rsid w:val="008172B2"/>
    <w:rsid w:val="00817F39"/>
    <w:rsid w:val="00820CEE"/>
    <w:rsid w:val="008211B3"/>
    <w:rsid w:val="00831762"/>
    <w:rsid w:val="00841FE3"/>
    <w:rsid w:val="00842FB6"/>
    <w:rsid w:val="00843AD9"/>
    <w:rsid w:val="008445FE"/>
    <w:rsid w:val="00845DB2"/>
    <w:rsid w:val="008526CB"/>
    <w:rsid w:val="008531D8"/>
    <w:rsid w:val="00853E0F"/>
    <w:rsid w:val="00854A0E"/>
    <w:rsid w:val="00856356"/>
    <w:rsid w:val="00856604"/>
    <w:rsid w:val="0086175B"/>
    <w:rsid w:val="0086693E"/>
    <w:rsid w:val="00870D84"/>
    <w:rsid w:val="0087359B"/>
    <w:rsid w:val="00874B49"/>
    <w:rsid w:val="00874B4F"/>
    <w:rsid w:val="00877155"/>
    <w:rsid w:val="00883BDC"/>
    <w:rsid w:val="00884FB7"/>
    <w:rsid w:val="0088548D"/>
    <w:rsid w:val="008856E9"/>
    <w:rsid w:val="00886B23"/>
    <w:rsid w:val="008911C2"/>
    <w:rsid w:val="00895266"/>
    <w:rsid w:val="0089789A"/>
    <w:rsid w:val="008A04E0"/>
    <w:rsid w:val="008A1231"/>
    <w:rsid w:val="008A1959"/>
    <w:rsid w:val="008A3196"/>
    <w:rsid w:val="008A31C5"/>
    <w:rsid w:val="008A35E9"/>
    <w:rsid w:val="008B529B"/>
    <w:rsid w:val="008C0073"/>
    <w:rsid w:val="008C3567"/>
    <w:rsid w:val="008C59E3"/>
    <w:rsid w:val="008D4E7C"/>
    <w:rsid w:val="008D4F38"/>
    <w:rsid w:val="008D736C"/>
    <w:rsid w:val="008E005D"/>
    <w:rsid w:val="008F34AA"/>
    <w:rsid w:val="008F556E"/>
    <w:rsid w:val="008F66D9"/>
    <w:rsid w:val="008F7B0B"/>
    <w:rsid w:val="00906928"/>
    <w:rsid w:val="009122F0"/>
    <w:rsid w:val="00914891"/>
    <w:rsid w:val="00917E01"/>
    <w:rsid w:val="009228FE"/>
    <w:rsid w:val="00922984"/>
    <w:rsid w:val="009254B8"/>
    <w:rsid w:val="00930652"/>
    <w:rsid w:val="00930FE0"/>
    <w:rsid w:val="00932944"/>
    <w:rsid w:val="00934755"/>
    <w:rsid w:val="00936843"/>
    <w:rsid w:val="009400D4"/>
    <w:rsid w:val="00940F0C"/>
    <w:rsid w:val="00947BF6"/>
    <w:rsid w:val="00950C34"/>
    <w:rsid w:val="00952927"/>
    <w:rsid w:val="0095367C"/>
    <w:rsid w:val="009559D4"/>
    <w:rsid w:val="00956F38"/>
    <w:rsid w:val="009571EA"/>
    <w:rsid w:val="009620DE"/>
    <w:rsid w:val="0096289C"/>
    <w:rsid w:val="00962EEB"/>
    <w:rsid w:val="009702B7"/>
    <w:rsid w:val="00970FAB"/>
    <w:rsid w:val="0097446C"/>
    <w:rsid w:val="00974B59"/>
    <w:rsid w:val="00974F79"/>
    <w:rsid w:val="00977869"/>
    <w:rsid w:val="00981453"/>
    <w:rsid w:val="00985A2C"/>
    <w:rsid w:val="00987956"/>
    <w:rsid w:val="00994C48"/>
    <w:rsid w:val="00995E37"/>
    <w:rsid w:val="009960F4"/>
    <w:rsid w:val="00997D7D"/>
    <w:rsid w:val="009A0AAB"/>
    <w:rsid w:val="009A1DB7"/>
    <w:rsid w:val="009A2780"/>
    <w:rsid w:val="009A35D6"/>
    <w:rsid w:val="009A3DBC"/>
    <w:rsid w:val="009A6603"/>
    <w:rsid w:val="009B1900"/>
    <w:rsid w:val="009B5221"/>
    <w:rsid w:val="009B5471"/>
    <w:rsid w:val="009B5CF7"/>
    <w:rsid w:val="009B60C8"/>
    <w:rsid w:val="009B60FC"/>
    <w:rsid w:val="009B70A7"/>
    <w:rsid w:val="009B7288"/>
    <w:rsid w:val="009C168C"/>
    <w:rsid w:val="009C3B5E"/>
    <w:rsid w:val="009C4A3E"/>
    <w:rsid w:val="009C7EF5"/>
    <w:rsid w:val="009D0954"/>
    <w:rsid w:val="009D21F5"/>
    <w:rsid w:val="009D297F"/>
    <w:rsid w:val="009D6290"/>
    <w:rsid w:val="009E587E"/>
    <w:rsid w:val="009E654A"/>
    <w:rsid w:val="009F3A53"/>
    <w:rsid w:val="009F5EDC"/>
    <w:rsid w:val="009F72F9"/>
    <w:rsid w:val="00A02C00"/>
    <w:rsid w:val="00A06085"/>
    <w:rsid w:val="00A0658D"/>
    <w:rsid w:val="00A06B02"/>
    <w:rsid w:val="00A10E37"/>
    <w:rsid w:val="00A11997"/>
    <w:rsid w:val="00A12DA8"/>
    <w:rsid w:val="00A1576F"/>
    <w:rsid w:val="00A176EA"/>
    <w:rsid w:val="00A17AA3"/>
    <w:rsid w:val="00A20DB2"/>
    <w:rsid w:val="00A24D56"/>
    <w:rsid w:val="00A25DA4"/>
    <w:rsid w:val="00A26B5E"/>
    <w:rsid w:val="00A2792D"/>
    <w:rsid w:val="00A31AAB"/>
    <w:rsid w:val="00A3495F"/>
    <w:rsid w:val="00A37100"/>
    <w:rsid w:val="00A37ACD"/>
    <w:rsid w:val="00A425D8"/>
    <w:rsid w:val="00A42EDB"/>
    <w:rsid w:val="00A44A62"/>
    <w:rsid w:val="00A450A6"/>
    <w:rsid w:val="00A47590"/>
    <w:rsid w:val="00A51F7D"/>
    <w:rsid w:val="00A520AC"/>
    <w:rsid w:val="00A52D69"/>
    <w:rsid w:val="00A54827"/>
    <w:rsid w:val="00A6428C"/>
    <w:rsid w:val="00A64966"/>
    <w:rsid w:val="00A65958"/>
    <w:rsid w:val="00A70819"/>
    <w:rsid w:val="00A709A1"/>
    <w:rsid w:val="00A7345A"/>
    <w:rsid w:val="00A74581"/>
    <w:rsid w:val="00A761F8"/>
    <w:rsid w:val="00A7626E"/>
    <w:rsid w:val="00A8315C"/>
    <w:rsid w:val="00A83D80"/>
    <w:rsid w:val="00A841AF"/>
    <w:rsid w:val="00A85790"/>
    <w:rsid w:val="00A91A36"/>
    <w:rsid w:val="00A9407A"/>
    <w:rsid w:val="00A96667"/>
    <w:rsid w:val="00A9711C"/>
    <w:rsid w:val="00AA01EF"/>
    <w:rsid w:val="00AA492A"/>
    <w:rsid w:val="00AB0A39"/>
    <w:rsid w:val="00AB5137"/>
    <w:rsid w:val="00AC0D1A"/>
    <w:rsid w:val="00AC10BE"/>
    <w:rsid w:val="00AC4326"/>
    <w:rsid w:val="00AC675B"/>
    <w:rsid w:val="00AD24F5"/>
    <w:rsid w:val="00AD6FFA"/>
    <w:rsid w:val="00AD7A05"/>
    <w:rsid w:val="00AE1068"/>
    <w:rsid w:val="00AE17B9"/>
    <w:rsid w:val="00AE2ABD"/>
    <w:rsid w:val="00AE3DB6"/>
    <w:rsid w:val="00AF0B9C"/>
    <w:rsid w:val="00AF3E36"/>
    <w:rsid w:val="00AF4901"/>
    <w:rsid w:val="00AF4BBC"/>
    <w:rsid w:val="00AF7726"/>
    <w:rsid w:val="00B02833"/>
    <w:rsid w:val="00B05078"/>
    <w:rsid w:val="00B06435"/>
    <w:rsid w:val="00B1222D"/>
    <w:rsid w:val="00B1280C"/>
    <w:rsid w:val="00B13680"/>
    <w:rsid w:val="00B13B7B"/>
    <w:rsid w:val="00B16FFB"/>
    <w:rsid w:val="00B179CF"/>
    <w:rsid w:val="00B20725"/>
    <w:rsid w:val="00B21E84"/>
    <w:rsid w:val="00B22C33"/>
    <w:rsid w:val="00B2774E"/>
    <w:rsid w:val="00B31E7C"/>
    <w:rsid w:val="00B31E8D"/>
    <w:rsid w:val="00B33817"/>
    <w:rsid w:val="00B35955"/>
    <w:rsid w:val="00B36FC2"/>
    <w:rsid w:val="00B42332"/>
    <w:rsid w:val="00B44907"/>
    <w:rsid w:val="00B44FCC"/>
    <w:rsid w:val="00B46C6C"/>
    <w:rsid w:val="00B515B6"/>
    <w:rsid w:val="00B52D6E"/>
    <w:rsid w:val="00B53F82"/>
    <w:rsid w:val="00B56F73"/>
    <w:rsid w:val="00B57F9F"/>
    <w:rsid w:val="00B65D65"/>
    <w:rsid w:val="00B729F8"/>
    <w:rsid w:val="00B72E9D"/>
    <w:rsid w:val="00B73128"/>
    <w:rsid w:val="00B734C7"/>
    <w:rsid w:val="00B741C5"/>
    <w:rsid w:val="00B77B32"/>
    <w:rsid w:val="00B816F3"/>
    <w:rsid w:val="00B82069"/>
    <w:rsid w:val="00B82F40"/>
    <w:rsid w:val="00B842AE"/>
    <w:rsid w:val="00B847B1"/>
    <w:rsid w:val="00B848A3"/>
    <w:rsid w:val="00B8547C"/>
    <w:rsid w:val="00B86281"/>
    <w:rsid w:val="00B86803"/>
    <w:rsid w:val="00B8702E"/>
    <w:rsid w:val="00B87D11"/>
    <w:rsid w:val="00B87D73"/>
    <w:rsid w:val="00B918E6"/>
    <w:rsid w:val="00B91A25"/>
    <w:rsid w:val="00B92943"/>
    <w:rsid w:val="00B97647"/>
    <w:rsid w:val="00B97A0E"/>
    <w:rsid w:val="00BA073C"/>
    <w:rsid w:val="00BA2550"/>
    <w:rsid w:val="00BA27B3"/>
    <w:rsid w:val="00BA4F62"/>
    <w:rsid w:val="00BA7CC2"/>
    <w:rsid w:val="00BB0179"/>
    <w:rsid w:val="00BB03DC"/>
    <w:rsid w:val="00BB18DA"/>
    <w:rsid w:val="00BB1B52"/>
    <w:rsid w:val="00BB4B29"/>
    <w:rsid w:val="00BB5183"/>
    <w:rsid w:val="00BB58A1"/>
    <w:rsid w:val="00BB7108"/>
    <w:rsid w:val="00BC7D30"/>
    <w:rsid w:val="00BD1D0D"/>
    <w:rsid w:val="00BD21A5"/>
    <w:rsid w:val="00BD2574"/>
    <w:rsid w:val="00BD507A"/>
    <w:rsid w:val="00BE1010"/>
    <w:rsid w:val="00BF11B9"/>
    <w:rsid w:val="00BF1E03"/>
    <w:rsid w:val="00BF2A4F"/>
    <w:rsid w:val="00BF54D0"/>
    <w:rsid w:val="00BF5829"/>
    <w:rsid w:val="00BF5FC5"/>
    <w:rsid w:val="00BF67AA"/>
    <w:rsid w:val="00BF7F81"/>
    <w:rsid w:val="00C00DF6"/>
    <w:rsid w:val="00C02A69"/>
    <w:rsid w:val="00C04409"/>
    <w:rsid w:val="00C07480"/>
    <w:rsid w:val="00C078A0"/>
    <w:rsid w:val="00C07E4E"/>
    <w:rsid w:val="00C11CE0"/>
    <w:rsid w:val="00C12C3C"/>
    <w:rsid w:val="00C148AE"/>
    <w:rsid w:val="00C1605A"/>
    <w:rsid w:val="00C2265B"/>
    <w:rsid w:val="00C24A12"/>
    <w:rsid w:val="00C25E81"/>
    <w:rsid w:val="00C26485"/>
    <w:rsid w:val="00C265A2"/>
    <w:rsid w:val="00C339F6"/>
    <w:rsid w:val="00C33A48"/>
    <w:rsid w:val="00C379DC"/>
    <w:rsid w:val="00C4509F"/>
    <w:rsid w:val="00C476EE"/>
    <w:rsid w:val="00C52D37"/>
    <w:rsid w:val="00C52F85"/>
    <w:rsid w:val="00C60DEE"/>
    <w:rsid w:val="00C616DC"/>
    <w:rsid w:val="00C62996"/>
    <w:rsid w:val="00C6331D"/>
    <w:rsid w:val="00C66489"/>
    <w:rsid w:val="00C66C6D"/>
    <w:rsid w:val="00C70576"/>
    <w:rsid w:val="00C7086E"/>
    <w:rsid w:val="00C74C3A"/>
    <w:rsid w:val="00C80076"/>
    <w:rsid w:val="00C80441"/>
    <w:rsid w:val="00C80999"/>
    <w:rsid w:val="00C830FC"/>
    <w:rsid w:val="00C8544C"/>
    <w:rsid w:val="00C8608B"/>
    <w:rsid w:val="00C86427"/>
    <w:rsid w:val="00C86B59"/>
    <w:rsid w:val="00C87522"/>
    <w:rsid w:val="00C907E3"/>
    <w:rsid w:val="00C90A88"/>
    <w:rsid w:val="00C93537"/>
    <w:rsid w:val="00C94962"/>
    <w:rsid w:val="00CA3610"/>
    <w:rsid w:val="00CA3EA5"/>
    <w:rsid w:val="00CA4607"/>
    <w:rsid w:val="00CA51E7"/>
    <w:rsid w:val="00CA529C"/>
    <w:rsid w:val="00CA77E5"/>
    <w:rsid w:val="00CB3FC8"/>
    <w:rsid w:val="00CB4CB6"/>
    <w:rsid w:val="00CB534C"/>
    <w:rsid w:val="00CB7297"/>
    <w:rsid w:val="00CC35E6"/>
    <w:rsid w:val="00CC5941"/>
    <w:rsid w:val="00CD4172"/>
    <w:rsid w:val="00CD53A6"/>
    <w:rsid w:val="00CE674D"/>
    <w:rsid w:val="00CF5E38"/>
    <w:rsid w:val="00CF6328"/>
    <w:rsid w:val="00CF70EB"/>
    <w:rsid w:val="00D050A6"/>
    <w:rsid w:val="00D105C2"/>
    <w:rsid w:val="00D11DC8"/>
    <w:rsid w:val="00D12B5C"/>
    <w:rsid w:val="00D13B26"/>
    <w:rsid w:val="00D16346"/>
    <w:rsid w:val="00D16A75"/>
    <w:rsid w:val="00D17EAE"/>
    <w:rsid w:val="00D22985"/>
    <w:rsid w:val="00D25DA3"/>
    <w:rsid w:val="00D25FFA"/>
    <w:rsid w:val="00D2632D"/>
    <w:rsid w:val="00D31DF2"/>
    <w:rsid w:val="00D32AA0"/>
    <w:rsid w:val="00D33390"/>
    <w:rsid w:val="00D35833"/>
    <w:rsid w:val="00D35B9F"/>
    <w:rsid w:val="00D437AC"/>
    <w:rsid w:val="00D45C2F"/>
    <w:rsid w:val="00D47919"/>
    <w:rsid w:val="00D505FA"/>
    <w:rsid w:val="00D51FA3"/>
    <w:rsid w:val="00D53E64"/>
    <w:rsid w:val="00D54ADD"/>
    <w:rsid w:val="00D55B48"/>
    <w:rsid w:val="00D55EC6"/>
    <w:rsid w:val="00D562A2"/>
    <w:rsid w:val="00D604AA"/>
    <w:rsid w:val="00D61630"/>
    <w:rsid w:val="00D6189B"/>
    <w:rsid w:val="00D6583C"/>
    <w:rsid w:val="00D6663A"/>
    <w:rsid w:val="00D67C35"/>
    <w:rsid w:val="00D708D6"/>
    <w:rsid w:val="00D740E4"/>
    <w:rsid w:val="00D74534"/>
    <w:rsid w:val="00D768CC"/>
    <w:rsid w:val="00D80528"/>
    <w:rsid w:val="00D81842"/>
    <w:rsid w:val="00D81AEA"/>
    <w:rsid w:val="00D84D3A"/>
    <w:rsid w:val="00D851CC"/>
    <w:rsid w:val="00D8618A"/>
    <w:rsid w:val="00D910A8"/>
    <w:rsid w:val="00D93082"/>
    <w:rsid w:val="00D94721"/>
    <w:rsid w:val="00D959D4"/>
    <w:rsid w:val="00D95E63"/>
    <w:rsid w:val="00D97B5E"/>
    <w:rsid w:val="00DA0787"/>
    <w:rsid w:val="00DA2EB1"/>
    <w:rsid w:val="00DA4B7E"/>
    <w:rsid w:val="00DA7AAC"/>
    <w:rsid w:val="00DB0BEA"/>
    <w:rsid w:val="00DB1046"/>
    <w:rsid w:val="00DB3358"/>
    <w:rsid w:val="00DB569F"/>
    <w:rsid w:val="00DB67D8"/>
    <w:rsid w:val="00DB7BE5"/>
    <w:rsid w:val="00DC0680"/>
    <w:rsid w:val="00DC226B"/>
    <w:rsid w:val="00DC2E86"/>
    <w:rsid w:val="00DC336E"/>
    <w:rsid w:val="00DC4CDB"/>
    <w:rsid w:val="00DC515B"/>
    <w:rsid w:val="00DC7919"/>
    <w:rsid w:val="00DD2768"/>
    <w:rsid w:val="00DD3F12"/>
    <w:rsid w:val="00DD5949"/>
    <w:rsid w:val="00DD62AA"/>
    <w:rsid w:val="00DD6CA5"/>
    <w:rsid w:val="00DD7885"/>
    <w:rsid w:val="00DE32F8"/>
    <w:rsid w:val="00DE4625"/>
    <w:rsid w:val="00DF0C43"/>
    <w:rsid w:val="00DF2261"/>
    <w:rsid w:val="00DF42DD"/>
    <w:rsid w:val="00DF4850"/>
    <w:rsid w:val="00DF5756"/>
    <w:rsid w:val="00DF6397"/>
    <w:rsid w:val="00DF6F6A"/>
    <w:rsid w:val="00E01CD5"/>
    <w:rsid w:val="00E02AD2"/>
    <w:rsid w:val="00E02ED4"/>
    <w:rsid w:val="00E0533B"/>
    <w:rsid w:val="00E065F0"/>
    <w:rsid w:val="00E0771A"/>
    <w:rsid w:val="00E11A5B"/>
    <w:rsid w:val="00E132E7"/>
    <w:rsid w:val="00E14194"/>
    <w:rsid w:val="00E17B20"/>
    <w:rsid w:val="00E23E31"/>
    <w:rsid w:val="00E24B70"/>
    <w:rsid w:val="00E25717"/>
    <w:rsid w:val="00E27DFA"/>
    <w:rsid w:val="00E30F2D"/>
    <w:rsid w:val="00E37C72"/>
    <w:rsid w:val="00E37D5C"/>
    <w:rsid w:val="00E413B4"/>
    <w:rsid w:val="00E421EF"/>
    <w:rsid w:val="00E42BAD"/>
    <w:rsid w:val="00E4478E"/>
    <w:rsid w:val="00E44887"/>
    <w:rsid w:val="00E4550E"/>
    <w:rsid w:val="00E47556"/>
    <w:rsid w:val="00E51341"/>
    <w:rsid w:val="00E537EA"/>
    <w:rsid w:val="00E571ED"/>
    <w:rsid w:val="00E575C1"/>
    <w:rsid w:val="00E60442"/>
    <w:rsid w:val="00E604F2"/>
    <w:rsid w:val="00E619AF"/>
    <w:rsid w:val="00E63E64"/>
    <w:rsid w:val="00E65793"/>
    <w:rsid w:val="00E66D5F"/>
    <w:rsid w:val="00E70390"/>
    <w:rsid w:val="00E70A3E"/>
    <w:rsid w:val="00E7287B"/>
    <w:rsid w:val="00E75E8A"/>
    <w:rsid w:val="00E77ECA"/>
    <w:rsid w:val="00E8001C"/>
    <w:rsid w:val="00E804D0"/>
    <w:rsid w:val="00E8267F"/>
    <w:rsid w:val="00E8519E"/>
    <w:rsid w:val="00E85C42"/>
    <w:rsid w:val="00E8669D"/>
    <w:rsid w:val="00E90CD7"/>
    <w:rsid w:val="00E92EFE"/>
    <w:rsid w:val="00E93FF2"/>
    <w:rsid w:val="00E96512"/>
    <w:rsid w:val="00E9764B"/>
    <w:rsid w:val="00EA173F"/>
    <w:rsid w:val="00EA5C89"/>
    <w:rsid w:val="00EA7D48"/>
    <w:rsid w:val="00EA7E4D"/>
    <w:rsid w:val="00EB1785"/>
    <w:rsid w:val="00EB3A7F"/>
    <w:rsid w:val="00EB6462"/>
    <w:rsid w:val="00EB6AB8"/>
    <w:rsid w:val="00EC5275"/>
    <w:rsid w:val="00EC73F3"/>
    <w:rsid w:val="00ED0ADD"/>
    <w:rsid w:val="00ED0B0C"/>
    <w:rsid w:val="00ED549F"/>
    <w:rsid w:val="00ED57F2"/>
    <w:rsid w:val="00ED5E2F"/>
    <w:rsid w:val="00ED75B1"/>
    <w:rsid w:val="00EE04FE"/>
    <w:rsid w:val="00EE0934"/>
    <w:rsid w:val="00EE10F9"/>
    <w:rsid w:val="00EE3EA2"/>
    <w:rsid w:val="00EE4857"/>
    <w:rsid w:val="00EE611E"/>
    <w:rsid w:val="00EE705A"/>
    <w:rsid w:val="00EF1BA8"/>
    <w:rsid w:val="00EF2852"/>
    <w:rsid w:val="00EF4F6C"/>
    <w:rsid w:val="00EF6F11"/>
    <w:rsid w:val="00EF7965"/>
    <w:rsid w:val="00F012CD"/>
    <w:rsid w:val="00F029D2"/>
    <w:rsid w:val="00F03444"/>
    <w:rsid w:val="00F03726"/>
    <w:rsid w:val="00F03BE4"/>
    <w:rsid w:val="00F04AB3"/>
    <w:rsid w:val="00F06AE8"/>
    <w:rsid w:val="00F10BBE"/>
    <w:rsid w:val="00F11072"/>
    <w:rsid w:val="00F11D5E"/>
    <w:rsid w:val="00F16203"/>
    <w:rsid w:val="00F172F6"/>
    <w:rsid w:val="00F20AB0"/>
    <w:rsid w:val="00F20E7D"/>
    <w:rsid w:val="00F23377"/>
    <w:rsid w:val="00F25B1F"/>
    <w:rsid w:val="00F2745E"/>
    <w:rsid w:val="00F27C4D"/>
    <w:rsid w:val="00F27D6F"/>
    <w:rsid w:val="00F30B52"/>
    <w:rsid w:val="00F33478"/>
    <w:rsid w:val="00F33D8C"/>
    <w:rsid w:val="00F35013"/>
    <w:rsid w:val="00F353D3"/>
    <w:rsid w:val="00F37176"/>
    <w:rsid w:val="00F452F6"/>
    <w:rsid w:val="00F46F7F"/>
    <w:rsid w:val="00F47359"/>
    <w:rsid w:val="00F5381D"/>
    <w:rsid w:val="00F564E3"/>
    <w:rsid w:val="00F60235"/>
    <w:rsid w:val="00F62DFF"/>
    <w:rsid w:val="00F641FD"/>
    <w:rsid w:val="00F70C7C"/>
    <w:rsid w:val="00F71CCB"/>
    <w:rsid w:val="00F7208C"/>
    <w:rsid w:val="00F76605"/>
    <w:rsid w:val="00F81FBC"/>
    <w:rsid w:val="00F83351"/>
    <w:rsid w:val="00F8377A"/>
    <w:rsid w:val="00F83BB3"/>
    <w:rsid w:val="00F85808"/>
    <w:rsid w:val="00F87F1E"/>
    <w:rsid w:val="00F91D40"/>
    <w:rsid w:val="00F928F4"/>
    <w:rsid w:val="00F93B76"/>
    <w:rsid w:val="00F93C50"/>
    <w:rsid w:val="00F93D55"/>
    <w:rsid w:val="00F94CCF"/>
    <w:rsid w:val="00F97D4C"/>
    <w:rsid w:val="00F97D95"/>
    <w:rsid w:val="00FA05C2"/>
    <w:rsid w:val="00FA0815"/>
    <w:rsid w:val="00FA0E24"/>
    <w:rsid w:val="00FA2CB7"/>
    <w:rsid w:val="00FA39A6"/>
    <w:rsid w:val="00FA76DC"/>
    <w:rsid w:val="00FB073B"/>
    <w:rsid w:val="00FB0EFD"/>
    <w:rsid w:val="00FB2FE6"/>
    <w:rsid w:val="00FB5959"/>
    <w:rsid w:val="00FC2A34"/>
    <w:rsid w:val="00FC3DDA"/>
    <w:rsid w:val="00FC65D0"/>
    <w:rsid w:val="00FC6DE6"/>
    <w:rsid w:val="00FD0FC8"/>
    <w:rsid w:val="00FD1380"/>
    <w:rsid w:val="00FD2232"/>
    <w:rsid w:val="00FD7F8E"/>
    <w:rsid w:val="00FE1FDF"/>
    <w:rsid w:val="00FE3D6E"/>
    <w:rsid w:val="00FE3D82"/>
    <w:rsid w:val="00FE701A"/>
    <w:rsid w:val="00FE777F"/>
    <w:rsid w:val="00FE79AE"/>
    <w:rsid w:val="00FF109F"/>
    <w:rsid w:val="00FF1F62"/>
    <w:rsid w:val="00FF336F"/>
    <w:rsid w:val="00FF3B67"/>
    <w:rsid w:val="00FF4759"/>
    <w:rsid w:val="00FF481C"/>
    <w:rsid w:val="00FF4B44"/>
    <w:rsid w:val="00FF54D8"/>
    <w:rsid w:val="00FF680E"/>
    <w:rsid w:val="00FF730D"/>
    <w:rsid w:val="00FF7D9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776AD9"/>
  <w15:docId w15:val="{CE4E9D0B-1763-40F6-A84C-05F75F243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D94721"/>
    <w:pPr>
      <w:keepNext/>
      <w:jc w:val="center"/>
      <w:outlineLvl w:val="0"/>
    </w:pPr>
    <w:rPr>
      <w:rFonts w:ascii="Arial" w:hAnsi="Arial"/>
      <w:b/>
      <w:sz w:val="40"/>
      <w:szCs w:val="20"/>
      <w:u w:val="single"/>
    </w:rPr>
  </w:style>
  <w:style w:type="paragraph" w:styleId="Heading2">
    <w:name w:val="heading 2"/>
    <w:basedOn w:val="Normal"/>
    <w:next w:val="Normal"/>
    <w:qFormat/>
    <w:rsid w:val="00D94721"/>
    <w:pPr>
      <w:keepNext/>
      <w:outlineLvl w:val="1"/>
    </w:pPr>
    <w:rPr>
      <w:rFonts w:ascii="Arial" w:hAnsi="Arial"/>
      <w:b/>
      <w:sz w:val="28"/>
      <w:szCs w:val="20"/>
      <w:u w:val="single"/>
    </w:rPr>
  </w:style>
  <w:style w:type="paragraph" w:styleId="Heading3">
    <w:name w:val="heading 3"/>
    <w:basedOn w:val="Normal"/>
    <w:qFormat/>
    <w:rsid w:val="00CC35E6"/>
    <w:pPr>
      <w:keepNext/>
      <w:numPr>
        <w:ilvl w:val="2"/>
        <w:numId w:val="2"/>
      </w:numPr>
      <w:suppressAutoHyphens/>
      <w:spacing w:after="240"/>
      <w:outlineLvl w:val="2"/>
    </w:pPr>
    <w:rPr>
      <w:rFonts w:ascii="Arial" w:hAnsi="Arial"/>
      <w:b/>
      <w:szCs w:val="20"/>
    </w:rPr>
  </w:style>
  <w:style w:type="paragraph" w:styleId="Heading4">
    <w:name w:val="heading 4"/>
    <w:basedOn w:val="Normal"/>
    <w:qFormat/>
    <w:rsid w:val="00CC35E6"/>
    <w:pPr>
      <w:keepNext/>
      <w:numPr>
        <w:ilvl w:val="3"/>
        <w:numId w:val="2"/>
      </w:numPr>
      <w:suppressAutoHyphens/>
      <w:spacing w:after="120"/>
      <w:outlineLvl w:val="3"/>
    </w:pPr>
    <w:rPr>
      <w:rFonts w:ascii="Arial" w:hAnsi="Arial"/>
      <w:b/>
      <w:i/>
      <w:sz w:val="22"/>
      <w:szCs w:val="20"/>
    </w:rPr>
  </w:style>
  <w:style w:type="paragraph" w:styleId="Heading5">
    <w:name w:val="heading 5"/>
    <w:basedOn w:val="Normal"/>
    <w:next w:val="Normal"/>
    <w:qFormat/>
    <w:rsid w:val="002F008D"/>
    <w:pPr>
      <w:keepNext/>
      <w:outlineLvl w:val="4"/>
    </w:pPr>
    <w:rPr>
      <w:b/>
    </w:rPr>
  </w:style>
  <w:style w:type="paragraph" w:styleId="Heading6">
    <w:name w:val="heading 6"/>
    <w:basedOn w:val="Normal"/>
    <w:next w:val="Normal"/>
    <w:qFormat/>
    <w:rsid w:val="007F7171"/>
    <w:pPr>
      <w:keepNext/>
      <w:outlineLvl w:val="5"/>
    </w:pPr>
    <w:rPr>
      <w:b/>
      <w:u w:val="single"/>
    </w:rPr>
  </w:style>
  <w:style w:type="paragraph" w:styleId="Heading7">
    <w:name w:val="heading 7"/>
    <w:basedOn w:val="Normal"/>
    <w:next w:val="Normal"/>
    <w:qFormat/>
    <w:rsid w:val="007F7171"/>
    <w:pPr>
      <w:keepNext/>
      <w:outlineLvl w:val="6"/>
    </w:pPr>
    <w:rPr>
      <w:u w:val="single"/>
    </w:rPr>
  </w:style>
  <w:style w:type="paragraph" w:styleId="Heading8">
    <w:name w:val="heading 8"/>
    <w:basedOn w:val="Normal"/>
    <w:next w:val="Normal"/>
    <w:qFormat/>
    <w:rsid w:val="007F7171"/>
    <w:pPr>
      <w:keepNext/>
      <w:pBdr>
        <w:bottom w:val="single" w:sz="4" w:space="1" w:color="auto"/>
      </w:pBdr>
      <w:jc w:val="center"/>
      <w:outlineLvl w:val="7"/>
    </w:pPr>
    <w:rPr>
      <w:b/>
      <w:sz w:val="40"/>
      <w:szCs w:val="40"/>
    </w:rPr>
  </w:style>
  <w:style w:type="paragraph" w:styleId="Heading9">
    <w:name w:val="heading 9"/>
    <w:basedOn w:val="Normal"/>
    <w:next w:val="Normal"/>
    <w:qFormat/>
    <w:rsid w:val="00E413B4"/>
    <w:pPr>
      <w:keepNext/>
      <w:pBdr>
        <w:bottom w:val="single" w:sz="4" w:space="1" w:color="auto"/>
      </w:pBdr>
      <w:jc w:val="center"/>
      <w:outlineLvl w:val="8"/>
    </w:pPr>
    <w:rPr>
      <w:b/>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
    <w:name w:val="Section"/>
    <w:basedOn w:val="Normal"/>
    <w:next w:val="Normal"/>
    <w:rsid w:val="00CC35E6"/>
    <w:pPr>
      <w:keepNext/>
      <w:spacing w:after="240"/>
      <w:jc w:val="center"/>
    </w:pPr>
    <w:rPr>
      <w:rFonts w:ascii="Arial Black" w:hAnsi="Arial Black"/>
      <w:smallCaps/>
      <w:sz w:val="32"/>
      <w:szCs w:val="20"/>
    </w:rPr>
  </w:style>
  <w:style w:type="paragraph" w:customStyle="1" w:styleId="Box">
    <w:name w:val="Box"/>
    <w:basedOn w:val="Normal"/>
    <w:rsid w:val="00CC35E6"/>
    <w:pPr>
      <w:numPr>
        <w:numId w:val="1"/>
      </w:numPr>
      <w:tabs>
        <w:tab w:val="left" w:pos="-720"/>
      </w:tabs>
      <w:spacing w:after="240"/>
    </w:pPr>
    <w:rPr>
      <w:rFonts w:ascii="Arial" w:hAnsi="Arial"/>
      <w:sz w:val="22"/>
      <w:szCs w:val="20"/>
    </w:rPr>
  </w:style>
  <w:style w:type="character" w:styleId="Hyperlink">
    <w:name w:val="Hyperlink"/>
    <w:uiPriority w:val="99"/>
    <w:rsid w:val="00CC35E6"/>
    <w:rPr>
      <w:color w:val="0000FF"/>
      <w:u w:val="single"/>
    </w:rPr>
  </w:style>
  <w:style w:type="character" w:styleId="CommentReference">
    <w:name w:val="annotation reference"/>
    <w:uiPriority w:val="99"/>
    <w:semiHidden/>
    <w:rsid w:val="00CC35E6"/>
    <w:rPr>
      <w:sz w:val="16"/>
    </w:rPr>
  </w:style>
  <w:style w:type="paragraph" w:customStyle="1" w:styleId="BoxText">
    <w:name w:val="Box Text"/>
    <w:basedOn w:val="Normal"/>
    <w:next w:val="Normal"/>
    <w:rsid w:val="00CC35E6"/>
    <w:pPr>
      <w:tabs>
        <w:tab w:val="left" w:pos="3092"/>
      </w:tabs>
      <w:spacing w:after="120"/>
    </w:pPr>
    <w:rPr>
      <w:rFonts w:ascii="Arial Narrow" w:hAnsi="Arial Narrow"/>
      <w:sz w:val="22"/>
      <w:szCs w:val="20"/>
    </w:rPr>
  </w:style>
  <w:style w:type="paragraph" w:styleId="BalloonText">
    <w:name w:val="Balloon Text"/>
    <w:basedOn w:val="Normal"/>
    <w:semiHidden/>
    <w:rsid w:val="00CC35E6"/>
    <w:rPr>
      <w:rFonts w:ascii="Tahoma" w:hAnsi="Tahoma" w:cs="Tahoma"/>
      <w:sz w:val="16"/>
      <w:szCs w:val="16"/>
    </w:rPr>
  </w:style>
  <w:style w:type="paragraph" w:customStyle="1" w:styleId="BodyText1">
    <w:name w:val="Body Text 1"/>
    <w:basedOn w:val="Normal"/>
    <w:rsid w:val="0000548C"/>
    <w:pPr>
      <w:tabs>
        <w:tab w:val="left" w:pos="720"/>
      </w:tabs>
      <w:spacing w:after="180"/>
    </w:pPr>
    <w:rPr>
      <w:rFonts w:ascii="Arial" w:hAnsi="Arial"/>
      <w:sz w:val="22"/>
      <w:szCs w:val="20"/>
    </w:rPr>
  </w:style>
  <w:style w:type="character" w:styleId="FootnoteReference">
    <w:name w:val="footnote reference"/>
    <w:semiHidden/>
    <w:rsid w:val="0000548C"/>
    <w:rPr>
      <w:vertAlign w:val="superscript"/>
    </w:rPr>
  </w:style>
  <w:style w:type="paragraph" w:styleId="FootnoteText">
    <w:name w:val="footnote text"/>
    <w:basedOn w:val="Normal"/>
    <w:semiHidden/>
    <w:rsid w:val="0000548C"/>
    <w:pPr>
      <w:spacing w:after="120"/>
    </w:pPr>
    <w:rPr>
      <w:rFonts w:ascii="Arial" w:hAnsi="Arial"/>
      <w:i/>
      <w:iCs/>
      <w:sz w:val="18"/>
      <w:szCs w:val="20"/>
    </w:rPr>
  </w:style>
  <w:style w:type="paragraph" w:styleId="Title">
    <w:name w:val="Title"/>
    <w:basedOn w:val="Normal"/>
    <w:qFormat/>
    <w:rsid w:val="0000548C"/>
    <w:pPr>
      <w:spacing w:before="120" w:after="120"/>
      <w:jc w:val="center"/>
    </w:pPr>
    <w:rPr>
      <w:rFonts w:ascii="Arial" w:hAnsi="Arial"/>
      <w:b/>
      <w:kern w:val="28"/>
      <w:szCs w:val="20"/>
    </w:rPr>
  </w:style>
  <w:style w:type="paragraph" w:customStyle="1" w:styleId="Box1">
    <w:name w:val="Box 1"/>
    <w:basedOn w:val="Normal"/>
    <w:rsid w:val="002312A2"/>
    <w:pPr>
      <w:numPr>
        <w:numId w:val="4"/>
      </w:numPr>
      <w:spacing w:after="120"/>
    </w:pPr>
    <w:rPr>
      <w:rFonts w:ascii="Arial" w:hAnsi="Arial"/>
      <w:sz w:val="22"/>
      <w:szCs w:val="20"/>
    </w:rPr>
  </w:style>
  <w:style w:type="paragraph" w:customStyle="1" w:styleId="Box2">
    <w:name w:val="Box 2"/>
    <w:basedOn w:val="Normal"/>
    <w:rsid w:val="002312A2"/>
    <w:pPr>
      <w:numPr>
        <w:numId w:val="3"/>
      </w:numPr>
      <w:suppressAutoHyphens/>
      <w:spacing w:after="120"/>
    </w:pPr>
    <w:rPr>
      <w:rFonts w:ascii="Arial" w:hAnsi="Arial"/>
      <w:sz w:val="22"/>
      <w:szCs w:val="20"/>
    </w:rPr>
  </w:style>
  <w:style w:type="paragraph" w:styleId="BodyText">
    <w:name w:val="Body Text"/>
    <w:basedOn w:val="Normal"/>
    <w:rsid w:val="007F7171"/>
    <w:pPr>
      <w:ind w:right="184"/>
      <w:jc w:val="both"/>
    </w:pPr>
  </w:style>
  <w:style w:type="paragraph" w:styleId="BlockText">
    <w:name w:val="Block Text"/>
    <w:basedOn w:val="Normal"/>
    <w:rsid w:val="007F7171"/>
    <w:pPr>
      <w:tabs>
        <w:tab w:val="left" w:pos="540"/>
      </w:tabs>
      <w:ind w:left="180" w:right="184"/>
      <w:jc w:val="both"/>
    </w:pPr>
  </w:style>
  <w:style w:type="paragraph" w:styleId="Header">
    <w:name w:val="header"/>
    <w:basedOn w:val="Normal"/>
    <w:rsid w:val="00E804D0"/>
    <w:pPr>
      <w:tabs>
        <w:tab w:val="center" w:pos="4320"/>
        <w:tab w:val="right" w:pos="8640"/>
      </w:tabs>
    </w:pPr>
  </w:style>
  <w:style w:type="paragraph" w:styleId="Footer">
    <w:name w:val="footer"/>
    <w:basedOn w:val="Normal"/>
    <w:link w:val="FooterChar"/>
    <w:uiPriority w:val="99"/>
    <w:rsid w:val="00E804D0"/>
    <w:pPr>
      <w:tabs>
        <w:tab w:val="center" w:pos="4320"/>
        <w:tab w:val="right" w:pos="8640"/>
      </w:tabs>
    </w:pPr>
    <w:rPr>
      <w:lang w:val="x-none" w:eastAsia="x-none"/>
    </w:rPr>
  </w:style>
  <w:style w:type="character" w:styleId="PageNumber">
    <w:name w:val="page number"/>
    <w:basedOn w:val="DefaultParagraphFont"/>
    <w:rsid w:val="00E804D0"/>
  </w:style>
  <w:style w:type="paragraph" w:styleId="BodyText2">
    <w:name w:val="Body Text 2"/>
    <w:basedOn w:val="Normal"/>
    <w:link w:val="BodyText2Char"/>
    <w:rsid w:val="002D1227"/>
    <w:rPr>
      <w:sz w:val="28"/>
      <w:szCs w:val="28"/>
      <w:lang w:val="x-none" w:eastAsia="x-none"/>
    </w:rPr>
  </w:style>
  <w:style w:type="paragraph" w:styleId="DocumentMap">
    <w:name w:val="Document Map"/>
    <w:basedOn w:val="Normal"/>
    <w:semiHidden/>
    <w:rsid w:val="00117231"/>
    <w:pPr>
      <w:shd w:val="clear" w:color="auto" w:fill="000080"/>
    </w:pPr>
    <w:rPr>
      <w:rFonts w:ascii="Tahoma" w:hAnsi="Tahoma" w:cs="Tahoma"/>
      <w:sz w:val="20"/>
      <w:szCs w:val="20"/>
    </w:rPr>
  </w:style>
  <w:style w:type="paragraph" w:styleId="BodyTextIndent">
    <w:name w:val="Body Text Indent"/>
    <w:basedOn w:val="Normal"/>
    <w:rsid w:val="008F7B0B"/>
    <w:pPr>
      <w:tabs>
        <w:tab w:val="left" w:pos="162"/>
      </w:tabs>
      <w:ind w:left="252" w:hanging="270"/>
    </w:pPr>
    <w:rPr>
      <w:sz w:val="12"/>
      <w:szCs w:val="12"/>
    </w:rPr>
  </w:style>
  <w:style w:type="paragraph" w:styleId="BodyTextIndent2">
    <w:name w:val="Body Text Indent 2"/>
    <w:basedOn w:val="Normal"/>
    <w:rsid w:val="00A10E37"/>
    <w:pPr>
      <w:tabs>
        <w:tab w:val="left" w:pos="360"/>
      </w:tabs>
      <w:ind w:left="720" w:hanging="720"/>
    </w:pPr>
    <w:rPr>
      <w:rFonts w:ascii="Arial" w:hAnsi="Arial" w:cs="Arial"/>
      <w:sz w:val="22"/>
      <w:szCs w:val="22"/>
    </w:rPr>
  </w:style>
  <w:style w:type="table" w:styleId="TableGrid">
    <w:name w:val="Table Grid"/>
    <w:basedOn w:val="TableNormal"/>
    <w:rsid w:val="00420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rsid w:val="002F4318"/>
    <w:pPr>
      <w:ind w:left="360" w:hanging="360"/>
    </w:pPr>
    <w:rPr>
      <w:rFonts w:ascii="Arial" w:hAnsi="Arial" w:cs="Arial"/>
      <w:sz w:val="16"/>
      <w:szCs w:val="16"/>
    </w:rPr>
  </w:style>
  <w:style w:type="paragraph" w:styleId="BodyText3">
    <w:name w:val="Body Text 3"/>
    <w:basedOn w:val="Normal"/>
    <w:rsid w:val="002F4318"/>
    <w:rPr>
      <w:rFonts w:ascii="Arial" w:hAnsi="Arial" w:cs="Arial"/>
      <w:sz w:val="16"/>
      <w:szCs w:val="16"/>
    </w:rPr>
  </w:style>
  <w:style w:type="paragraph" w:customStyle="1" w:styleId="font0">
    <w:name w:val="font0"/>
    <w:basedOn w:val="Normal"/>
    <w:rsid w:val="00DF2261"/>
    <w:pPr>
      <w:spacing w:before="100" w:beforeAutospacing="1" w:after="100" w:afterAutospacing="1"/>
    </w:pPr>
    <w:rPr>
      <w:rFonts w:ascii="Arial" w:hAnsi="Arial" w:cs="Arial"/>
      <w:sz w:val="20"/>
      <w:szCs w:val="20"/>
    </w:rPr>
  </w:style>
  <w:style w:type="paragraph" w:styleId="CommentText">
    <w:name w:val="annotation text"/>
    <w:basedOn w:val="Normal"/>
    <w:link w:val="CommentTextChar"/>
    <w:uiPriority w:val="99"/>
    <w:rsid w:val="009620DE"/>
    <w:rPr>
      <w:sz w:val="20"/>
      <w:szCs w:val="20"/>
    </w:rPr>
  </w:style>
  <w:style w:type="character" w:customStyle="1" w:styleId="CommentTextChar">
    <w:name w:val="Comment Text Char"/>
    <w:basedOn w:val="DefaultParagraphFont"/>
    <w:link w:val="CommentText"/>
    <w:uiPriority w:val="99"/>
    <w:rsid w:val="009620DE"/>
  </w:style>
  <w:style w:type="paragraph" w:styleId="CommentSubject">
    <w:name w:val="annotation subject"/>
    <w:basedOn w:val="CommentText"/>
    <w:next w:val="CommentText"/>
    <w:link w:val="CommentSubjectChar"/>
    <w:rsid w:val="009620DE"/>
    <w:rPr>
      <w:b/>
      <w:bCs/>
      <w:lang w:val="x-none" w:eastAsia="x-none"/>
    </w:rPr>
  </w:style>
  <w:style w:type="character" w:customStyle="1" w:styleId="CommentSubjectChar">
    <w:name w:val="Comment Subject Char"/>
    <w:link w:val="CommentSubject"/>
    <w:rsid w:val="009620DE"/>
    <w:rPr>
      <w:b/>
      <w:bCs/>
    </w:rPr>
  </w:style>
  <w:style w:type="character" w:customStyle="1" w:styleId="FooterChar">
    <w:name w:val="Footer Char"/>
    <w:link w:val="Footer"/>
    <w:uiPriority w:val="99"/>
    <w:rsid w:val="00856356"/>
    <w:rPr>
      <w:sz w:val="24"/>
      <w:szCs w:val="24"/>
    </w:rPr>
  </w:style>
  <w:style w:type="character" w:customStyle="1" w:styleId="BodyText2Char">
    <w:name w:val="Body Text 2 Char"/>
    <w:link w:val="BodyText2"/>
    <w:rsid w:val="00856356"/>
    <w:rPr>
      <w:sz w:val="28"/>
      <w:szCs w:val="28"/>
    </w:rPr>
  </w:style>
  <w:style w:type="paragraph" w:styleId="Revision">
    <w:name w:val="Revision"/>
    <w:hidden/>
    <w:uiPriority w:val="99"/>
    <w:semiHidden/>
    <w:rsid w:val="008A3196"/>
    <w:rPr>
      <w:sz w:val="24"/>
      <w:szCs w:val="24"/>
    </w:rPr>
  </w:style>
  <w:style w:type="paragraph" w:styleId="ListParagraph">
    <w:name w:val="List Paragraph"/>
    <w:basedOn w:val="Normal"/>
    <w:uiPriority w:val="34"/>
    <w:qFormat/>
    <w:rsid w:val="00C11CE0"/>
    <w:pPr>
      <w:ind w:left="720"/>
      <w:contextualSpacing/>
    </w:pPr>
    <w:rPr>
      <w:rFonts w:ascii="Helvetica" w:hAnsi="Helvetica"/>
      <w:szCs w:val="20"/>
    </w:rPr>
  </w:style>
  <w:style w:type="character" w:styleId="Strong">
    <w:name w:val="Strong"/>
    <w:basedOn w:val="DefaultParagraphFont"/>
    <w:uiPriority w:val="22"/>
    <w:qFormat/>
    <w:rsid w:val="008526CB"/>
    <w:rPr>
      <w:b/>
      <w:bCs/>
    </w:rPr>
  </w:style>
  <w:style w:type="paragraph" w:styleId="TOC1">
    <w:name w:val="toc 1"/>
    <w:basedOn w:val="Normal"/>
    <w:next w:val="Normal"/>
    <w:autoRedefine/>
    <w:uiPriority w:val="39"/>
    <w:rsid w:val="002217D4"/>
    <w:pPr>
      <w:tabs>
        <w:tab w:val="right" w:leader="dot" w:pos="9926"/>
      </w:tabs>
      <w:spacing w:before="120"/>
    </w:pPr>
    <w:rPr>
      <w:rFonts w:ascii="Arial" w:hAnsi="Arial" w:cstheme="minorHAnsi"/>
      <w:bCs/>
      <w:iCs/>
    </w:rPr>
  </w:style>
  <w:style w:type="paragraph" w:styleId="TOC2">
    <w:name w:val="toc 2"/>
    <w:basedOn w:val="Normal"/>
    <w:next w:val="Normal"/>
    <w:autoRedefine/>
    <w:uiPriority w:val="39"/>
    <w:rsid w:val="002217D4"/>
    <w:pPr>
      <w:tabs>
        <w:tab w:val="right" w:leader="dot" w:pos="9926"/>
      </w:tabs>
      <w:spacing w:before="120"/>
      <w:ind w:left="240"/>
    </w:pPr>
    <w:rPr>
      <w:rFonts w:asciiTheme="minorHAnsi" w:hAnsiTheme="minorHAnsi" w:cstheme="minorHAnsi"/>
      <w:b/>
      <w:bCs/>
      <w:sz w:val="22"/>
      <w:szCs w:val="22"/>
    </w:rPr>
  </w:style>
  <w:style w:type="paragraph" w:customStyle="1" w:styleId="1BODY-Arial11">
    <w:name w:val="1. BODY-Arial 11"/>
    <w:basedOn w:val="Normal"/>
    <w:qFormat/>
    <w:rsid w:val="00F81FBC"/>
    <w:pPr>
      <w:spacing w:line="280" w:lineRule="exact"/>
      <w:jc w:val="both"/>
    </w:pPr>
    <w:rPr>
      <w:rFonts w:ascii="Arial" w:hAnsi="Arial" w:cs="Arial"/>
      <w:color w:val="000000"/>
      <w:sz w:val="22"/>
      <w:szCs w:val="22"/>
    </w:rPr>
  </w:style>
  <w:style w:type="paragraph" w:customStyle="1" w:styleId="5Arial20">
    <w:name w:val="5. Arial 20"/>
    <w:aliases w:val="centered,bold,5. NEW Figure Arial 9,ital"/>
    <w:basedOn w:val="Heading1"/>
    <w:qFormat/>
    <w:rsid w:val="00A450A6"/>
  </w:style>
  <w:style w:type="paragraph" w:customStyle="1" w:styleId="4ArialBold14">
    <w:name w:val="4. Arial Bold 14"/>
    <w:basedOn w:val="Heading2"/>
    <w:qFormat/>
    <w:rsid w:val="00A450A6"/>
  </w:style>
  <w:style w:type="paragraph" w:customStyle="1" w:styleId="3BULLETarial11">
    <w:name w:val="3. BULLET arial 11"/>
    <w:basedOn w:val="Normal"/>
    <w:qFormat/>
    <w:rsid w:val="00BB18DA"/>
    <w:pPr>
      <w:numPr>
        <w:numId w:val="21"/>
      </w:numPr>
      <w:spacing w:line="280" w:lineRule="exact"/>
    </w:pPr>
    <w:rPr>
      <w:rFonts w:ascii="Arial" w:hAnsi="Arial" w:cs="Arial"/>
      <w:color w:val="000000" w:themeColor="text1"/>
      <w:sz w:val="22"/>
      <w:szCs w:val="22"/>
    </w:rPr>
  </w:style>
  <w:style w:type="paragraph" w:customStyle="1" w:styleId="2BOLDArial11">
    <w:name w:val="2. BOLD Arial 11"/>
    <w:basedOn w:val="Normal"/>
    <w:qFormat/>
    <w:rsid w:val="00CF70EB"/>
    <w:rPr>
      <w:rFonts w:ascii="Arial" w:hAnsi="Arial" w:cs="Arial"/>
      <w:b/>
      <w:sz w:val="22"/>
      <w:szCs w:val="22"/>
    </w:rPr>
  </w:style>
  <w:style w:type="paragraph" w:customStyle="1" w:styleId="ACDBGBODYArial11">
    <w:name w:val="A CDBG BODY Arial 11"/>
    <w:aliases w:val="14 leading"/>
    <w:basedOn w:val="BodyText"/>
    <w:qFormat/>
    <w:rsid w:val="0048542C"/>
    <w:pPr>
      <w:spacing w:line="280" w:lineRule="exact"/>
      <w:ind w:right="0"/>
    </w:pPr>
    <w:rPr>
      <w:rFonts w:ascii="Arial" w:hAnsi="Arial" w:cs="Arial"/>
      <w:sz w:val="22"/>
      <w:szCs w:val="22"/>
      <w:lang w:val="x-none" w:eastAsia="x-none"/>
    </w:rPr>
  </w:style>
  <w:style w:type="paragraph" w:customStyle="1" w:styleId="BULLETS">
    <w:name w:val="• BULLETS"/>
    <w:basedOn w:val="Normal"/>
    <w:qFormat/>
    <w:rsid w:val="00C24A12"/>
    <w:pPr>
      <w:numPr>
        <w:numId w:val="28"/>
      </w:numPr>
      <w:spacing w:line="280" w:lineRule="exact"/>
    </w:pPr>
    <w:rPr>
      <w:rFonts w:ascii="Arial" w:hAnsi="Arial" w:cs="Arial"/>
      <w:sz w:val="22"/>
      <w:szCs w:val="22"/>
    </w:rPr>
  </w:style>
  <w:style w:type="paragraph" w:styleId="TOCHeading">
    <w:name w:val="TOC Heading"/>
    <w:basedOn w:val="Heading1"/>
    <w:next w:val="Normal"/>
    <w:uiPriority w:val="39"/>
    <w:unhideWhenUsed/>
    <w:qFormat/>
    <w:rsid w:val="00484CEE"/>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u w:val="none"/>
    </w:rPr>
  </w:style>
  <w:style w:type="paragraph" w:styleId="TOC3">
    <w:name w:val="toc 3"/>
    <w:basedOn w:val="Normal"/>
    <w:next w:val="Normal"/>
    <w:autoRedefine/>
    <w:semiHidden/>
    <w:unhideWhenUsed/>
    <w:rsid w:val="00484CEE"/>
    <w:pPr>
      <w:ind w:left="480"/>
    </w:pPr>
    <w:rPr>
      <w:rFonts w:asciiTheme="minorHAnsi" w:hAnsiTheme="minorHAnsi" w:cstheme="minorHAnsi"/>
      <w:sz w:val="20"/>
      <w:szCs w:val="20"/>
    </w:rPr>
  </w:style>
  <w:style w:type="paragraph" w:styleId="TOC4">
    <w:name w:val="toc 4"/>
    <w:basedOn w:val="Normal"/>
    <w:next w:val="Normal"/>
    <w:autoRedefine/>
    <w:semiHidden/>
    <w:unhideWhenUsed/>
    <w:rsid w:val="00484CEE"/>
    <w:pPr>
      <w:ind w:left="720"/>
    </w:pPr>
    <w:rPr>
      <w:rFonts w:asciiTheme="minorHAnsi" w:hAnsiTheme="minorHAnsi" w:cstheme="minorHAnsi"/>
      <w:sz w:val="20"/>
      <w:szCs w:val="20"/>
    </w:rPr>
  </w:style>
  <w:style w:type="paragraph" w:styleId="TOC5">
    <w:name w:val="toc 5"/>
    <w:basedOn w:val="Normal"/>
    <w:next w:val="Normal"/>
    <w:autoRedefine/>
    <w:semiHidden/>
    <w:unhideWhenUsed/>
    <w:rsid w:val="00484CEE"/>
    <w:pPr>
      <w:ind w:left="960"/>
    </w:pPr>
    <w:rPr>
      <w:rFonts w:asciiTheme="minorHAnsi" w:hAnsiTheme="minorHAnsi" w:cstheme="minorHAnsi"/>
      <w:sz w:val="20"/>
      <w:szCs w:val="20"/>
    </w:rPr>
  </w:style>
  <w:style w:type="paragraph" w:styleId="TOC6">
    <w:name w:val="toc 6"/>
    <w:basedOn w:val="Normal"/>
    <w:next w:val="Normal"/>
    <w:autoRedefine/>
    <w:semiHidden/>
    <w:unhideWhenUsed/>
    <w:rsid w:val="00484CEE"/>
    <w:pPr>
      <w:ind w:left="1200"/>
    </w:pPr>
    <w:rPr>
      <w:rFonts w:asciiTheme="minorHAnsi" w:hAnsiTheme="minorHAnsi" w:cstheme="minorHAnsi"/>
      <w:sz w:val="20"/>
      <w:szCs w:val="20"/>
    </w:rPr>
  </w:style>
  <w:style w:type="paragraph" w:styleId="TOC7">
    <w:name w:val="toc 7"/>
    <w:basedOn w:val="Normal"/>
    <w:next w:val="Normal"/>
    <w:autoRedefine/>
    <w:semiHidden/>
    <w:unhideWhenUsed/>
    <w:rsid w:val="00484CEE"/>
    <w:pPr>
      <w:ind w:left="1440"/>
    </w:pPr>
    <w:rPr>
      <w:rFonts w:asciiTheme="minorHAnsi" w:hAnsiTheme="minorHAnsi" w:cstheme="minorHAnsi"/>
      <w:sz w:val="20"/>
      <w:szCs w:val="20"/>
    </w:rPr>
  </w:style>
  <w:style w:type="paragraph" w:styleId="TOC8">
    <w:name w:val="toc 8"/>
    <w:basedOn w:val="Normal"/>
    <w:next w:val="Normal"/>
    <w:autoRedefine/>
    <w:semiHidden/>
    <w:unhideWhenUsed/>
    <w:rsid w:val="00484CEE"/>
    <w:pPr>
      <w:ind w:left="1680"/>
    </w:pPr>
    <w:rPr>
      <w:rFonts w:asciiTheme="minorHAnsi" w:hAnsiTheme="minorHAnsi" w:cstheme="minorHAnsi"/>
      <w:sz w:val="20"/>
      <w:szCs w:val="20"/>
    </w:rPr>
  </w:style>
  <w:style w:type="paragraph" w:styleId="TOC9">
    <w:name w:val="toc 9"/>
    <w:basedOn w:val="Normal"/>
    <w:next w:val="Normal"/>
    <w:autoRedefine/>
    <w:semiHidden/>
    <w:unhideWhenUsed/>
    <w:rsid w:val="00484CEE"/>
    <w:pPr>
      <w:ind w:left="1920"/>
    </w:pPr>
    <w:rPr>
      <w:rFonts w:asciiTheme="minorHAnsi" w:hAnsiTheme="minorHAnsi" w:cstheme="minorHAnsi"/>
      <w:sz w:val="20"/>
      <w:szCs w:val="20"/>
    </w:rPr>
  </w:style>
  <w:style w:type="paragraph" w:customStyle="1" w:styleId="2Bulletedlist-Arial11">
    <w:name w:val="2. Bulleted list - Arial 11"/>
    <w:basedOn w:val="Normal"/>
    <w:qFormat/>
    <w:rsid w:val="00E70390"/>
    <w:pPr>
      <w:numPr>
        <w:numId w:val="31"/>
      </w:numPr>
      <w:spacing w:line="280" w:lineRule="exact"/>
    </w:pPr>
    <w:rPr>
      <w:rFonts w:ascii="Arial" w:hAnsi="Arial" w:cs="Arial"/>
      <w:sz w:val="22"/>
      <w:szCs w:val="22"/>
    </w:rPr>
  </w:style>
  <w:style w:type="paragraph" w:customStyle="1" w:styleId="3Arial11">
    <w:name w:val="3. Arial 11"/>
    <w:aliases w:val="Bold"/>
    <w:basedOn w:val="Normal"/>
    <w:qFormat/>
    <w:rsid w:val="00E70390"/>
    <w:pPr>
      <w:jc w:val="both"/>
    </w:pPr>
    <w:rPr>
      <w:rFonts w:ascii="Arial" w:hAnsi="Arial" w:cs="Arial"/>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605370">
      <w:bodyDiv w:val="1"/>
      <w:marLeft w:val="0"/>
      <w:marRight w:val="0"/>
      <w:marTop w:val="0"/>
      <w:marBottom w:val="0"/>
      <w:divBdr>
        <w:top w:val="none" w:sz="0" w:space="0" w:color="auto"/>
        <w:left w:val="none" w:sz="0" w:space="0" w:color="auto"/>
        <w:bottom w:val="none" w:sz="0" w:space="0" w:color="auto"/>
        <w:right w:val="none" w:sz="0" w:space="0" w:color="auto"/>
      </w:divBdr>
      <w:divsChild>
        <w:div w:id="293682331">
          <w:marLeft w:val="0"/>
          <w:marRight w:val="0"/>
          <w:marTop w:val="0"/>
          <w:marBottom w:val="0"/>
          <w:divBdr>
            <w:top w:val="none" w:sz="0" w:space="0" w:color="auto"/>
            <w:left w:val="none" w:sz="0" w:space="0" w:color="auto"/>
            <w:bottom w:val="none" w:sz="0" w:space="0" w:color="auto"/>
            <w:right w:val="none" w:sz="0" w:space="0" w:color="auto"/>
          </w:divBdr>
        </w:div>
        <w:div w:id="1357195727">
          <w:marLeft w:val="0"/>
          <w:marRight w:val="0"/>
          <w:marTop w:val="0"/>
          <w:marBottom w:val="0"/>
          <w:divBdr>
            <w:top w:val="none" w:sz="0" w:space="0" w:color="auto"/>
            <w:left w:val="none" w:sz="0" w:space="0" w:color="auto"/>
            <w:bottom w:val="none" w:sz="0" w:space="0" w:color="auto"/>
            <w:right w:val="none" w:sz="0" w:space="0" w:color="auto"/>
          </w:divBdr>
        </w:div>
      </w:divsChild>
    </w:div>
    <w:div w:id="478621638">
      <w:bodyDiv w:val="1"/>
      <w:marLeft w:val="0"/>
      <w:marRight w:val="0"/>
      <w:marTop w:val="0"/>
      <w:marBottom w:val="0"/>
      <w:divBdr>
        <w:top w:val="none" w:sz="0" w:space="0" w:color="auto"/>
        <w:left w:val="none" w:sz="0" w:space="0" w:color="auto"/>
        <w:bottom w:val="none" w:sz="0" w:space="0" w:color="auto"/>
        <w:right w:val="none" w:sz="0" w:space="0" w:color="auto"/>
      </w:divBdr>
    </w:div>
    <w:div w:id="989797007">
      <w:bodyDiv w:val="1"/>
      <w:marLeft w:val="0"/>
      <w:marRight w:val="0"/>
      <w:marTop w:val="0"/>
      <w:marBottom w:val="0"/>
      <w:divBdr>
        <w:top w:val="none" w:sz="0" w:space="0" w:color="auto"/>
        <w:left w:val="none" w:sz="0" w:space="0" w:color="auto"/>
        <w:bottom w:val="none" w:sz="0" w:space="0" w:color="auto"/>
        <w:right w:val="none" w:sz="0" w:space="0" w:color="auto"/>
      </w:divBdr>
      <w:divsChild>
        <w:div w:id="1386367670">
          <w:marLeft w:val="0"/>
          <w:marRight w:val="0"/>
          <w:marTop w:val="0"/>
          <w:marBottom w:val="0"/>
          <w:divBdr>
            <w:top w:val="none" w:sz="0" w:space="0" w:color="auto"/>
            <w:left w:val="none" w:sz="0" w:space="0" w:color="auto"/>
            <w:bottom w:val="none" w:sz="0" w:space="0" w:color="auto"/>
            <w:right w:val="none" w:sz="0" w:space="0" w:color="auto"/>
          </w:divBdr>
        </w:div>
      </w:divsChild>
    </w:div>
    <w:div w:id="1060862243">
      <w:bodyDiv w:val="1"/>
      <w:marLeft w:val="0"/>
      <w:marRight w:val="0"/>
      <w:marTop w:val="0"/>
      <w:marBottom w:val="0"/>
      <w:divBdr>
        <w:top w:val="none" w:sz="0" w:space="0" w:color="auto"/>
        <w:left w:val="none" w:sz="0" w:space="0" w:color="auto"/>
        <w:bottom w:val="none" w:sz="0" w:space="0" w:color="auto"/>
        <w:right w:val="none" w:sz="0" w:space="0" w:color="auto"/>
      </w:divBdr>
    </w:div>
    <w:div w:id="1378045059">
      <w:bodyDiv w:val="1"/>
      <w:marLeft w:val="0"/>
      <w:marRight w:val="0"/>
      <w:marTop w:val="0"/>
      <w:marBottom w:val="0"/>
      <w:divBdr>
        <w:top w:val="none" w:sz="0" w:space="0" w:color="auto"/>
        <w:left w:val="none" w:sz="0" w:space="0" w:color="auto"/>
        <w:bottom w:val="none" w:sz="0" w:space="0" w:color="auto"/>
        <w:right w:val="none" w:sz="0" w:space="0" w:color="auto"/>
      </w:divBdr>
    </w:div>
    <w:div w:id="1961493603">
      <w:bodyDiv w:val="1"/>
      <w:marLeft w:val="0"/>
      <w:marRight w:val="0"/>
      <w:marTop w:val="0"/>
      <w:marBottom w:val="0"/>
      <w:divBdr>
        <w:top w:val="none" w:sz="0" w:space="0" w:color="auto"/>
        <w:left w:val="none" w:sz="0" w:space="0" w:color="auto"/>
        <w:bottom w:val="none" w:sz="0" w:space="0" w:color="auto"/>
        <w:right w:val="none" w:sz="0" w:space="0" w:color="auto"/>
      </w:divBdr>
    </w:div>
    <w:div w:id="2007635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EFD70569911AA43A6BFF25E32FDADE6" ma:contentTypeVersion="4" ma:contentTypeDescription="Create a new document." ma:contentTypeScope="" ma:versionID="a3fea5c22dc4dfd45d2a022dacf54164">
  <xsd:schema xmlns:xsd="http://www.w3.org/2001/XMLSchema" xmlns:xs="http://www.w3.org/2001/XMLSchema" xmlns:p="http://schemas.microsoft.com/office/2006/metadata/properties" xmlns:ns2="8a457650-a1b7-4a6d-8991-d567f91c4f97" targetNamespace="http://schemas.microsoft.com/office/2006/metadata/properties" ma:root="true" ma:fieldsID="1395c3e878a66329b9c4890e1febd944" ns2:_="">
    <xsd:import namespace="8a457650-a1b7-4a6d-8991-d567f91c4f9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457650-a1b7-4a6d-8991-d567f91c4f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E265D3-CD86-4A4A-8C0A-C20F9E6F7DEE}">
  <ds:schemaRefs>
    <ds:schemaRef ds:uri="http://schemas.openxmlformats.org/officeDocument/2006/bibliography"/>
  </ds:schemaRefs>
</ds:datastoreItem>
</file>

<file path=customXml/itemProps2.xml><?xml version="1.0" encoding="utf-8"?>
<ds:datastoreItem xmlns:ds="http://schemas.openxmlformats.org/officeDocument/2006/customXml" ds:itemID="{6158C2D7-80D9-4786-9733-817420A2C1C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5B89CBA-6DAC-46D7-8A25-FAA5B2D4CC41}">
  <ds:schemaRefs>
    <ds:schemaRef ds:uri="http://schemas.microsoft.com/sharepoint/v3/contenttype/forms"/>
  </ds:schemaRefs>
</ds:datastoreItem>
</file>

<file path=customXml/itemProps4.xml><?xml version="1.0" encoding="utf-8"?>
<ds:datastoreItem xmlns:ds="http://schemas.openxmlformats.org/officeDocument/2006/customXml" ds:itemID="{E22AC244-54D0-4A8F-BE18-41365B1026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457650-a1b7-4a6d-8991-d567f91c4f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Pages>
  <Words>4879</Words>
  <Characters>27812</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CHAPTER 1</vt:lpstr>
    </vt:vector>
  </TitlesOfParts>
  <Company>ORCA</Company>
  <LinksUpToDate>false</LinksUpToDate>
  <CharactersWithSpaces>32626</CharactersWithSpaces>
  <SharedDoc>false</SharedDoc>
  <HLinks>
    <vt:vector size="6" baseType="variant">
      <vt:variant>
        <vt:i4>2752516</vt:i4>
      </vt:variant>
      <vt:variant>
        <vt:i4>0</vt:i4>
      </vt:variant>
      <vt:variant>
        <vt:i4>0</vt:i4>
      </vt:variant>
      <vt:variant>
        <vt:i4>5</vt:i4>
      </vt:variant>
      <vt:variant>
        <vt:lpwstr>mailto:QuarterlyReports@texasagriculture.gov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subject>Impl Manual-2007</dc:subject>
  <dc:creator>jhartley</dc:creator>
  <cp:lastModifiedBy>Suzanne Barnard</cp:lastModifiedBy>
  <cp:revision>4</cp:revision>
  <cp:lastPrinted>2018-03-09T18:38:00Z</cp:lastPrinted>
  <dcterms:created xsi:type="dcterms:W3CDTF">2022-03-09T22:59:00Z</dcterms:created>
  <dcterms:modified xsi:type="dcterms:W3CDTF">2022-03-10T20:05:00Z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0x0101000EFD70569911AA43A6BFF25E32FDADE6</vt:lpwstr>
  </property>
</Properties>
</file>