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F8BA5" w14:textId="2E7FD2AE" w:rsidR="00B96E30" w:rsidRPr="00367EE8" w:rsidRDefault="00783AA1" w:rsidP="00FD5B9E">
      <w:pPr>
        <w:pStyle w:val="Style1"/>
        <w:jc w:val="center"/>
        <w:rPr>
          <w:u w:val="none"/>
        </w:rPr>
      </w:pPr>
      <w:r>
        <w:rPr>
          <w:u w:val="none"/>
        </w:rPr>
        <w:t>INTRODUCTION</w:t>
      </w:r>
    </w:p>
    <w:p w14:paraId="18775964" w14:textId="77777777" w:rsidR="00B96E30" w:rsidRDefault="00B96E30" w:rsidP="00FD5B9E">
      <w:pPr>
        <w:pStyle w:val="1BODY-Arial11"/>
      </w:pPr>
    </w:p>
    <w:p w14:paraId="430A7A0F" w14:textId="78CFC2E8" w:rsidR="00A115A6" w:rsidRDefault="00B96E30" w:rsidP="00FD5B9E">
      <w:pPr>
        <w:pStyle w:val="1BODY-Arial11"/>
      </w:pPr>
      <w:r w:rsidRPr="00B96E30">
        <w:t xml:space="preserve">The goal of the Texas Community Development Block Grant (TxCDBG) </w:t>
      </w:r>
      <w:r>
        <w:t>p</w:t>
      </w:r>
      <w:r w:rsidRPr="00B96E30">
        <w:t>rogram is to develop viable communities by providing decent housing and a suitable living environment, as well as by expanding economic opportunities</w:t>
      </w:r>
      <w:r w:rsidR="00A115A6">
        <w:t>—</w:t>
      </w:r>
      <w:r w:rsidRPr="00B96E30">
        <w:t xml:space="preserve">principally for persons of low-to-moderate income. </w:t>
      </w:r>
    </w:p>
    <w:p w14:paraId="55752814" w14:textId="0A8F7364" w:rsidR="0076146E" w:rsidRDefault="0076146E" w:rsidP="00FD5B9E">
      <w:pPr>
        <w:pStyle w:val="1BODY-Arial11"/>
      </w:pPr>
    </w:p>
    <w:p w14:paraId="3C4A7AED" w14:textId="61EEFA30" w:rsidR="0076146E" w:rsidRDefault="0076146E" w:rsidP="00FD5B9E">
      <w:pPr>
        <w:pStyle w:val="1BODY-Arial11"/>
      </w:pPr>
      <w:r w:rsidRPr="0076146E">
        <w:t>Eligible applicants are non-entitlement cities under 50,000 in population and non-entitlement counties that have a non-metropolitan population under 200,000 and are not eligible for direct CDBG funding from HUD may apply for funding through any of the Texas CDBG programs.</w:t>
      </w:r>
    </w:p>
    <w:p w14:paraId="140896E0" w14:textId="77777777" w:rsidR="00A115A6" w:rsidRDefault="00A115A6" w:rsidP="00FD5B9E">
      <w:pPr>
        <w:pStyle w:val="1BODY-Arial11"/>
      </w:pPr>
    </w:p>
    <w:p w14:paraId="6E2F50E9" w14:textId="03F974F5" w:rsidR="00B96E30" w:rsidRPr="00B96E30" w:rsidRDefault="00B96E30" w:rsidP="00FD5B9E">
      <w:pPr>
        <w:pStyle w:val="1BODY-Arial11"/>
      </w:pPr>
      <w:r w:rsidRPr="00B96E30">
        <w:t xml:space="preserve">In awarding funding pursuant to Government Code Section 487.351(c), the Texas Department of Agriculture (TDA) shall give priority to eligible activities in the areas of economic development, community development, rural health, and rural housing to support workforce development. </w:t>
      </w:r>
    </w:p>
    <w:p w14:paraId="7F300F38" w14:textId="77777777" w:rsidR="00B96E30" w:rsidRDefault="00B96E30" w:rsidP="00FD5B9E">
      <w:pPr>
        <w:pStyle w:val="1BODY-Arial11"/>
      </w:pPr>
    </w:p>
    <w:p w14:paraId="283FF574" w14:textId="76BC21D3" w:rsidR="00B96E30" w:rsidRPr="00B96E30" w:rsidRDefault="00B96E30" w:rsidP="00FD5B9E">
      <w:pPr>
        <w:pStyle w:val="1BODY-Arial11"/>
      </w:pPr>
      <w:r w:rsidRPr="00B96E30">
        <w:t xml:space="preserve">The objectives of the TxCDBG </w:t>
      </w:r>
      <w:r>
        <w:t>p</w:t>
      </w:r>
      <w:r w:rsidRPr="00B96E30">
        <w:t>rogram are</w:t>
      </w:r>
      <w:r w:rsidR="00836144">
        <w:t xml:space="preserve"> to</w:t>
      </w:r>
    </w:p>
    <w:p w14:paraId="38B831E4" w14:textId="52F85202" w:rsidR="00B96E30" w:rsidRPr="00B96E30" w:rsidRDefault="00B96E30" w:rsidP="00836144">
      <w:pPr>
        <w:pStyle w:val="BullletbodyArial11"/>
        <w:jc w:val="left"/>
      </w:pPr>
      <w:r w:rsidRPr="00B96E30">
        <w:t xml:space="preserve">improve public facilities to meet basic human needs, principally for low-to-moderate income </w:t>
      </w:r>
      <w:proofErr w:type="gramStart"/>
      <w:r w:rsidRPr="00B96E30">
        <w:t>persons;</w:t>
      </w:r>
      <w:proofErr w:type="gramEnd"/>
      <w:r w:rsidRPr="00B96E30">
        <w:t xml:space="preserve"> </w:t>
      </w:r>
    </w:p>
    <w:p w14:paraId="0D5ECE00" w14:textId="1DDB132A" w:rsidR="00B96E30" w:rsidRPr="00B96E30" w:rsidRDefault="00B96E30" w:rsidP="00836144">
      <w:pPr>
        <w:pStyle w:val="BullletbodyArial11"/>
        <w:jc w:val="left"/>
      </w:pPr>
      <w:r w:rsidRPr="00B96E30">
        <w:t xml:space="preserve">improve housing conditions, principally for persons of low-to-moderate </w:t>
      </w:r>
      <w:proofErr w:type="gramStart"/>
      <w:r w:rsidRPr="00B96E30">
        <w:t>income;</w:t>
      </w:r>
      <w:proofErr w:type="gramEnd"/>
      <w:r w:rsidRPr="00B96E30">
        <w:t xml:space="preserve"> </w:t>
      </w:r>
    </w:p>
    <w:p w14:paraId="09118522" w14:textId="138CAB99" w:rsidR="00B96E30" w:rsidRPr="00B96E30" w:rsidRDefault="00B96E30" w:rsidP="00836144">
      <w:pPr>
        <w:pStyle w:val="BullletbodyArial11"/>
        <w:jc w:val="left"/>
      </w:pPr>
      <w:r w:rsidRPr="00B96E30">
        <w:t xml:space="preserve">expand economic opportunities by creating or retaining jobs, principally for low-to-moderate income persons; and </w:t>
      </w:r>
    </w:p>
    <w:p w14:paraId="002D267F" w14:textId="7035E07B" w:rsidR="00B96E30" w:rsidRDefault="00B96E30" w:rsidP="00836144">
      <w:pPr>
        <w:pStyle w:val="BullletbodyArial11"/>
        <w:jc w:val="left"/>
      </w:pPr>
      <w:proofErr w:type="gramStart"/>
      <w:r w:rsidRPr="00B96E30">
        <w:t>provide assistance</w:t>
      </w:r>
      <w:proofErr w:type="gramEnd"/>
      <w:r w:rsidRPr="00B96E30">
        <w:t xml:space="preserve"> and public facilities to eliminate conditions hazardous to the public health and of an emergency nature. </w:t>
      </w:r>
    </w:p>
    <w:p w14:paraId="466A008A" w14:textId="6BA39827" w:rsidR="00FD5B9E" w:rsidRDefault="00FD5B9E" w:rsidP="00FD5B9E">
      <w:pPr>
        <w:pStyle w:val="BullletbodyArial11"/>
        <w:numPr>
          <w:ilvl w:val="0"/>
          <w:numId w:val="0"/>
        </w:numPr>
        <w:ind w:left="720" w:hanging="360"/>
      </w:pPr>
    </w:p>
    <w:p w14:paraId="7E111131" w14:textId="6FCD7CE9" w:rsidR="00FD5B9E" w:rsidRDefault="00FD5B9E" w:rsidP="00FD5B9E">
      <w:pPr>
        <w:pStyle w:val="BullletbodyArial11"/>
        <w:numPr>
          <w:ilvl w:val="0"/>
          <w:numId w:val="0"/>
        </w:numPr>
        <w:ind w:left="720" w:hanging="360"/>
      </w:pPr>
    </w:p>
    <w:p w14:paraId="393DD714" w14:textId="3B728A48" w:rsidR="00FD5B9E" w:rsidRPr="00A115A6" w:rsidRDefault="00836144" w:rsidP="00A115A6">
      <w:pPr>
        <w:pStyle w:val="1BODY-Arial11"/>
        <w:rPr>
          <w:b/>
          <w:bCs/>
          <w:sz w:val="28"/>
          <w:szCs w:val="28"/>
          <w:u w:val="single"/>
        </w:rPr>
      </w:pPr>
      <w:r>
        <w:rPr>
          <w:b/>
          <w:bCs/>
          <w:sz w:val="28"/>
          <w:szCs w:val="28"/>
          <w:u w:val="single"/>
        </w:rPr>
        <w:t>Prior to</w:t>
      </w:r>
      <w:r w:rsidR="00A115A6" w:rsidRPr="00A115A6">
        <w:rPr>
          <w:b/>
          <w:bCs/>
          <w:sz w:val="28"/>
          <w:szCs w:val="28"/>
          <w:u w:val="single"/>
        </w:rPr>
        <w:t xml:space="preserve"> 2021</w:t>
      </w:r>
    </w:p>
    <w:p w14:paraId="0667793E" w14:textId="796ACCC7" w:rsidR="005B0D8A" w:rsidRDefault="005B0D8A"/>
    <w:p w14:paraId="35682E5E" w14:textId="5D5EC5A1" w:rsidR="000E4034" w:rsidRDefault="00A115A6" w:rsidP="00A115A6">
      <w:pPr>
        <w:pStyle w:val="1BODY-Arial11"/>
      </w:pPr>
      <w:r>
        <w:t>Prior to 2021</w:t>
      </w:r>
      <w:r w:rsidR="00836144">
        <w:t>,</w:t>
      </w:r>
      <w:r w:rsidR="000E4034">
        <w:t xml:space="preserve"> all TxCDBG Grant Applicants were required to </w:t>
      </w:r>
      <w:r w:rsidR="00132B71">
        <w:t xml:space="preserve">apply for </w:t>
      </w:r>
      <w:r w:rsidR="00836144" w:rsidRPr="00B96E30">
        <w:t xml:space="preserve">Community Development Block </w:t>
      </w:r>
      <w:r w:rsidR="00836144">
        <w:t>Gr</w:t>
      </w:r>
      <w:r w:rsidR="00132B71">
        <w:t>ant</w:t>
      </w:r>
      <w:r w:rsidR="00836144">
        <w:t xml:space="preserve"> (CDBG)</w:t>
      </w:r>
      <w:r w:rsidR="00132B71">
        <w:t xml:space="preserve"> funds using </w:t>
      </w:r>
      <w:r w:rsidR="000E4034">
        <w:t xml:space="preserve">over 100 different </w:t>
      </w:r>
      <w:r w:rsidR="00132B71">
        <w:t>paper forms, checklists, reports, and applications</w:t>
      </w:r>
      <w:r w:rsidR="00836144">
        <w:t>— all of which were</w:t>
      </w:r>
      <w:r w:rsidR="00132B71">
        <w:t xml:space="preserve"> emailed and</w:t>
      </w:r>
      <w:r w:rsidR="00836144">
        <w:t>/or</w:t>
      </w:r>
      <w:r w:rsidR="00132B71">
        <w:t xml:space="preserve"> snail-mailed to </w:t>
      </w:r>
      <w:r w:rsidR="002841B2">
        <w:t>TDA staff</w:t>
      </w:r>
      <w:r w:rsidR="00132B71">
        <w:t xml:space="preserve">. </w:t>
      </w:r>
    </w:p>
    <w:p w14:paraId="13E512CE" w14:textId="38F617E9" w:rsidR="00132B71" w:rsidRDefault="00132B71" w:rsidP="00A115A6">
      <w:pPr>
        <w:pStyle w:val="1BODY-Arial11"/>
      </w:pPr>
    </w:p>
    <w:p w14:paraId="5400167E" w14:textId="77777777" w:rsidR="002841B2" w:rsidRDefault="002841B2" w:rsidP="00A115A6">
      <w:pPr>
        <w:pStyle w:val="1BODY-Arial11"/>
      </w:pPr>
    </w:p>
    <w:p w14:paraId="7B1DD5BA" w14:textId="6251DDFC" w:rsidR="00132B71" w:rsidRPr="00A115A6" w:rsidRDefault="00132B71" w:rsidP="00132B71">
      <w:pPr>
        <w:pStyle w:val="1BODY-Arial11"/>
        <w:rPr>
          <w:b/>
          <w:bCs/>
          <w:sz w:val="28"/>
          <w:szCs w:val="28"/>
          <w:u w:val="single"/>
        </w:rPr>
      </w:pPr>
      <w:r>
        <w:rPr>
          <w:b/>
          <w:bCs/>
          <w:sz w:val="28"/>
          <w:szCs w:val="28"/>
          <w:u w:val="single"/>
        </w:rPr>
        <w:t>Welcom</w:t>
      </w:r>
      <w:r w:rsidR="002841B2">
        <w:rPr>
          <w:b/>
          <w:bCs/>
          <w:sz w:val="28"/>
          <w:szCs w:val="28"/>
          <w:u w:val="single"/>
        </w:rPr>
        <w:t>e</w:t>
      </w:r>
      <w:r>
        <w:rPr>
          <w:b/>
          <w:bCs/>
          <w:sz w:val="28"/>
          <w:szCs w:val="28"/>
          <w:u w:val="single"/>
        </w:rPr>
        <w:t xml:space="preserve"> TDA</w:t>
      </w:r>
      <w:r w:rsidR="002841B2">
        <w:rPr>
          <w:b/>
          <w:bCs/>
          <w:sz w:val="28"/>
          <w:szCs w:val="28"/>
          <w:u w:val="single"/>
        </w:rPr>
        <w:t>-</w:t>
      </w:r>
      <w:r>
        <w:rPr>
          <w:b/>
          <w:bCs/>
          <w:sz w:val="28"/>
          <w:szCs w:val="28"/>
          <w:u w:val="single"/>
        </w:rPr>
        <w:t>GO</w:t>
      </w:r>
    </w:p>
    <w:p w14:paraId="429D44BE" w14:textId="77777777" w:rsidR="00132B71" w:rsidRDefault="00132B71" w:rsidP="00132B71"/>
    <w:p w14:paraId="3532BE79" w14:textId="1270B52B" w:rsidR="004E3E18" w:rsidRDefault="00132B71" w:rsidP="00A115A6">
      <w:pPr>
        <w:pStyle w:val="1BODY-Arial11"/>
      </w:pPr>
      <w:r>
        <w:t xml:space="preserve">The TxCDBG </w:t>
      </w:r>
      <w:r w:rsidR="00836144">
        <w:t xml:space="preserve">staff is proud to announce TDA-GO! This interactive, online application system has been designed with the Grant Applicant </w:t>
      </w:r>
      <w:r w:rsidR="00EE2D48">
        <w:t xml:space="preserve">/ Grant Recipient </w:t>
      </w:r>
      <w:r w:rsidR="00836144">
        <w:t>in mind—</w:t>
      </w:r>
      <w:r w:rsidR="0076146E">
        <w:t>e</w:t>
      </w:r>
      <w:r w:rsidR="00836144">
        <w:t>asy-to-navigate</w:t>
      </w:r>
      <w:r w:rsidR="004E3E18">
        <w:t xml:space="preserve"> and easily updated</w:t>
      </w:r>
      <w:r w:rsidR="0076146E">
        <w:t xml:space="preserve">. TDA-GO will store all necessary forms for your grant application in one </w:t>
      </w:r>
      <w:proofErr w:type="gramStart"/>
      <w:r w:rsidR="0076146E">
        <w:t>place, and</w:t>
      </w:r>
      <w:proofErr w:type="gramEnd"/>
      <w:r w:rsidR="0076146E">
        <w:t xml:space="preserve"> be accessible from </w:t>
      </w:r>
      <w:r w:rsidR="00F41EE8">
        <w:t>a computer</w:t>
      </w:r>
      <w:r w:rsidR="00EE2D48">
        <w:t xml:space="preserve"> through a unique log-in for each user</w:t>
      </w:r>
      <w:r w:rsidR="00F41EE8" w:rsidRPr="0039139A">
        <w:rPr>
          <w:color w:val="FF0000"/>
        </w:rPr>
        <w:t>.</w:t>
      </w:r>
    </w:p>
    <w:p w14:paraId="2393A413" w14:textId="720A36B4" w:rsidR="0076146E" w:rsidRDefault="0076146E" w:rsidP="00A115A6">
      <w:pPr>
        <w:pStyle w:val="1BODY-Arial11"/>
      </w:pPr>
    </w:p>
    <w:p w14:paraId="0CE19460" w14:textId="77777777" w:rsidR="0076146E" w:rsidRDefault="0076146E" w:rsidP="00A115A6">
      <w:pPr>
        <w:pStyle w:val="1BODY-Arial11"/>
      </w:pPr>
    </w:p>
    <w:p w14:paraId="144DC70E" w14:textId="77777777" w:rsidR="00153A83" w:rsidRDefault="00153A83" w:rsidP="004E3E18">
      <w:pPr>
        <w:pStyle w:val="Style1"/>
        <w:rPr>
          <w:sz w:val="28"/>
          <w:szCs w:val="28"/>
        </w:rPr>
      </w:pPr>
    </w:p>
    <w:p w14:paraId="769BCE6E" w14:textId="77777777" w:rsidR="00153A83" w:rsidRDefault="00153A83" w:rsidP="004E3E18">
      <w:pPr>
        <w:pStyle w:val="Style1"/>
        <w:rPr>
          <w:sz w:val="28"/>
          <w:szCs w:val="28"/>
        </w:rPr>
      </w:pPr>
    </w:p>
    <w:p w14:paraId="2F879C67" w14:textId="77777777" w:rsidR="00153A83" w:rsidRDefault="00153A83" w:rsidP="004E3E18">
      <w:pPr>
        <w:pStyle w:val="Style1"/>
        <w:rPr>
          <w:sz w:val="28"/>
          <w:szCs w:val="28"/>
        </w:rPr>
      </w:pPr>
    </w:p>
    <w:p w14:paraId="1B603983" w14:textId="524B584E" w:rsidR="004E3E18" w:rsidRPr="004E3E18" w:rsidRDefault="004E3E18" w:rsidP="004E3E18">
      <w:pPr>
        <w:pStyle w:val="Style1"/>
        <w:rPr>
          <w:sz w:val="28"/>
          <w:szCs w:val="28"/>
        </w:rPr>
      </w:pPr>
      <w:r w:rsidRPr="004E3E18">
        <w:rPr>
          <w:sz w:val="28"/>
          <w:szCs w:val="28"/>
        </w:rPr>
        <w:lastRenderedPageBreak/>
        <w:t>Steps to Get Started</w:t>
      </w:r>
      <w:r w:rsidR="0076146E">
        <w:rPr>
          <w:sz w:val="28"/>
          <w:szCs w:val="28"/>
        </w:rPr>
        <w:t xml:space="preserve"> in TDA-GO</w:t>
      </w:r>
    </w:p>
    <w:p w14:paraId="2C7F6E9E" w14:textId="77777777" w:rsidR="00153A83" w:rsidRPr="004E3E18" w:rsidRDefault="00153A83" w:rsidP="00153A83">
      <w:pPr>
        <w:pStyle w:val="BullletbodyArial11"/>
        <w:ind w:right="-450"/>
        <w:jc w:val="left"/>
      </w:pPr>
      <w:r w:rsidRPr="004E3E18">
        <w:t>The initial Registration for your organization must be completed by an Authorized Official (AO) for the organization</w:t>
      </w:r>
      <w:r>
        <w:t xml:space="preserve">. </w:t>
      </w:r>
      <w:hyperlink r:id="rId11" w:history="1">
        <w:r w:rsidRPr="00ED038D">
          <w:rPr>
            <w:rStyle w:val="Hyperlink"/>
          </w:rPr>
          <w:t>Click here</w:t>
        </w:r>
      </w:hyperlink>
      <w:r>
        <w:t xml:space="preserve"> (</w:t>
      </w:r>
      <w:r w:rsidRPr="00EE2D48">
        <w:t>https://tda-go.intelligrants.co</w:t>
      </w:r>
      <w:r>
        <w:t>m)</w:t>
      </w:r>
      <w:r w:rsidRPr="0076146E">
        <w:t xml:space="preserve"> </w:t>
      </w:r>
      <w:r>
        <w:t>to get started.</w:t>
      </w:r>
    </w:p>
    <w:p w14:paraId="2FC36B55" w14:textId="77777777" w:rsidR="00153A83" w:rsidRPr="004E3E18" w:rsidRDefault="00153A83" w:rsidP="00153A83">
      <w:pPr>
        <w:pStyle w:val="BullletbodyArial11"/>
        <w:ind w:right="-450"/>
        <w:jc w:val="left"/>
      </w:pPr>
      <w:r w:rsidRPr="004E3E18">
        <w:t>Once the AO registers the organization, they will receive an email </w:t>
      </w:r>
      <w:r w:rsidRPr="004E3E18">
        <w:rPr>
          <w:rStyle w:val="Emphasis"/>
          <w:i w:val="0"/>
          <w:iCs w:val="0"/>
        </w:rPr>
        <w:t>Notification of Access Approval</w:t>
      </w:r>
      <w:r w:rsidRPr="004E3E18">
        <w:t> from the online systems administrator</w:t>
      </w:r>
      <w:r>
        <w:t>.</w:t>
      </w:r>
    </w:p>
    <w:p w14:paraId="76F95DBD" w14:textId="77777777" w:rsidR="00153A83" w:rsidRPr="004E3E18" w:rsidRDefault="00153A83" w:rsidP="00153A83">
      <w:pPr>
        <w:pStyle w:val="BullletbodyArial11"/>
        <w:ind w:right="-450"/>
        <w:jc w:val="left"/>
      </w:pPr>
      <w:r w:rsidRPr="004E3E18">
        <w:t>The AO can then designate access to your organizational account for additional staff members as they deem appropriate</w:t>
      </w:r>
      <w:r>
        <w:t>.</w:t>
      </w:r>
    </w:p>
    <w:p w14:paraId="578E0EE6" w14:textId="77777777" w:rsidR="00153A83" w:rsidRPr="004E3E18" w:rsidRDefault="00153A83" w:rsidP="00153A83">
      <w:pPr>
        <w:pStyle w:val="BullletbodyArial11"/>
        <w:ind w:right="-450"/>
        <w:jc w:val="left"/>
      </w:pPr>
      <w:r w:rsidRPr="004E3E18">
        <w:t xml:space="preserve">To visit the </w:t>
      </w:r>
      <w:r>
        <w:t xml:space="preserve">TxCDBG </w:t>
      </w:r>
      <w:r w:rsidRPr="004E3E18">
        <w:t>websit</w:t>
      </w:r>
      <w:r>
        <w:t xml:space="preserve">e </w:t>
      </w:r>
      <w:hyperlink r:id="rId12" w:history="1">
        <w:r w:rsidRPr="00ED038D">
          <w:rPr>
            <w:rStyle w:val="Hyperlink"/>
          </w:rPr>
          <w:t>click here</w:t>
        </w:r>
      </w:hyperlink>
      <w:r>
        <w:t>. (</w:t>
      </w:r>
      <w:r w:rsidRPr="00ED038D">
        <w:t>https://www.texasagriculture.gov/GrantsServices/RuralEconomicDevelopment/RuralCommunityDevelopmentBlockGrant(CDBG).aspx</w:t>
      </w:r>
      <w:r>
        <w:t>)</w:t>
      </w:r>
    </w:p>
    <w:p w14:paraId="28395B50" w14:textId="6E6EA3F7" w:rsidR="004E3E18" w:rsidRDefault="004E3E18" w:rsidP="004E3E18">
      <w:pPr>
        <w:pStyle w:val="1BODY-Arial11"/>
        <w:ind w:left="720"/>
      </w:pPr>
    </w:p>
    <w:p w14:paraId="25952C79" w14:textId="66D7ED9B" w:rsidR="00EE2D48" w:rsidRDefault="00EE2D48" w:rsidP="004E3E18">
      <w:pPr>
        <w:pStyle w:val="1BODY-Arial11"/>
        <w:ind w:left="720"/>
      </w:pPr>
    </w:p>
    <w:p w14:paraId="04C33060" w14:textId="267C5685" w:rsidR="00EE2D48" w:rsidRPr="00656F99" w:rsidRDefault="00656F99" w:rsidP="00656F99">
      <w:pPr>
        <w:pStyle w:val="Style1"/>
        <w:rPr>
          <w:sz w:val="28"/>
          <w:szCs w:val="28"/>
        </w:rPr>
      </w:pPr>
      <w:r w:rsidRPr="00656F99">
        <w:rPr>
          <w:sz w:val="28"/>
          <w:szCs w:val="28"/>
        </w:rPr>
        <w:t xml:space="preserve">Key </w:t>
      </w:r>
      <w:r w:rsidR="004E125B">
        <w:rPr>
          <w:sz w:val="28"/>
          <w:szCs w:val="28"/>
        </w:rPr>
        <w:t xml:space="preserve">TDA-GO </w:t>
      </w:r>
      <w:r w:rsidRPr="00656F99">
        <w:rPr>
          <w:sz w:val="28"/>
          <w:szCs w:val="28"/>
        </w:rPr>
        <w:t>Roles</w:t>
      </w:r>
    </w:p>
    <w:p w14:paraId="724F483E" w14:textId="77777777" w:rsidR="00A2216A" w:rsidRDefault="00656F99" w:rsidP="00A2216A">
      <w:pPr>
        <w:pStyle w:val="BullletbodyArial11"/>
        <w:jc w:val="left"/>
      </w:pPr>
      <w:r>
        <w:t>Each TDA-GO participant will be assigned one or more of the following roles</w:t>
      </w:r>
      <w:r w:rsidR="00A2216A">
        <w:t>.</w:t>
      </w:r>
    </w:p>
    <w:p w14:paraId="43E6FBE5" w14:textId="52D02D6C" w:rsidR="00656F99" w:rsidRDefault="00A2216A" w:rsidP="00A2216A">
      <w:pPr>
        <w:pStyle w:val="BullletbodyArial11"/>
        <w:jc w:val="left"/>
      </w:pPr>
      <w:r>
        <w:t>It is the responsibility of the Grant Recipient to ensure that each person is assigned appropriate roles.</w:t>
      </w:r>
      <w:r w:rsidR="00656F99">
        <w:t xml:space="preserve"> </w:t>
      </w:r>
    </w:p>
    <w:p w14:paraId="078007E0" w14:textId="77777777" w:rsidR="00656F99" w:rsidRDefault="00656F99" w:rsidP="00656F99">
      <w:pPr>
        <w:pStyle w:val="1BODY-Arial11"/>
      </w:pPr>
    </w:p>
    <w:tbl>
      <w:tblPr>
        <w:tblW w:w="9535" w:type="dxa"/>
        <w:tblLook w:val="04A0" w:firstRow="1" w:lastRow="0" w:firstColumn="1" w:lastColumn="0" w:noHBand="0" w:noVBand="1"/>
      </w:tblPr>
      <w:tblGrid>
        <w:gridCol w:w="2022"/>
        <w:gridCol w:w="7513"/>
      </w:tblGrid>
      <w:tr w:rsidR="00656F99" w:rsidRPr="00656F99" w14:paraId="160E6290" w14:textId="77777777" w:rsidTr="00656F99">
        <w:trPr>
          <w:trHeight w:val="520"/>
        </w:trPr>
        <w:tc>
          <w:tcPr>
            <w:tcW w:w="2022"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B99A484" w14:textId="4A0A3256" w:rsidR="00656F99" w:rsidRPr="00A2216A" w:rsidRDefault="00656F99" w:rsidP="00A2216A">
            <w:pPr>
              <w:pStyle w:val="1BODY-Arial11"/>
            </w:pPr>
            <w:r w:rsidRPr="00A2216A">
              <w:t>Authorized Official</w:t>
            </w:r>
          </w:p>
        </w:tc>
        <w:tc>
          <w:tcPr>
            <w:tcW w:w="7513" w:type="dxa"/>
            <w:tcBorders>
              <w:top w:val="single" w:sz="4" w:space="0" w:color="BFBFBF"/>
              <w:left w:val="nil"/>
              <w:bottom w:val="single" w:sz="4" w:space="0" w:color="BFBFBF"/>
              <w:right w:val="single" w:sz="4" w:space="0" w:color="BFBFBF"/>
            </w:tcBorders>
            <w:shd w:val="clear" w:color="000000" w:fill="FFFFFF"/>
            <w:vAlign w:val="center"/>
            <w:hideMark/>
          </w:tcPr>
          <w:p w14:paraId="004945FB" w14:textId="0E2AA2D1" w:rsidR="00656F99" w:rsidRPr="00A2216A" w:rsidRDefault="00656F99" w:rsidP="00A2216A">
            <w:pPr>
              <w:pStyle w:val="1BODY-Arial11"/>
            </w:pPr>
            <w:r w:rsidRPr="00A2216A">
              <w:t>Person authorized by resolution as signatory for</w:t>
            </w:r>
            <w:r w:rsidR="00A2216A" w:rsidRPr="00A2216A">
              <w:t xml:space="preserve"> grant</w:t>
            </w:r>
            <w:r w:rsidRPr="00A2216A">
              <w:t xml:space="preserve"> agreements and payment requests</w:t>
            </w:r>
          </w:p>
        </w:tc>
      </w:tr>
      <w:tr w:rsidR="00656F99" w:rsidRPr="00656F99" w14:paraId="14C71D8F" w14:textId="77777777" w:rsidTr="00656F99">
        <w:trPr>
          <w:trHeight w:val="1300"/>
        </w:trPr>
        <w:tc>
          <w:tcPr>
            <w:tcW w:w="2022" w:type="dxa"/>
            <w:tcBorders>
              <w:top w:val="nil"/>
              <w:left w:val="single" w:sz="4" w:space="0" w:color="BFBFBF"/>
              <w:bottom w:val="single" w:sz="4" w:space="0" w:color="BFBFBF"/>
              <w:right w:val="single" w:sz="4" w:space="0" w:color="BFBFBF"/>
            </w:tcBorders>
            <w:shd w:val="clear" w:color="auto" w:fill="auto"/>
            <w:vAlign w:val="center"/>
            <w:hideMark/>
          </w:tcPr>
          <w:p w14:paraId="40E7E084" w14:textId="77777777" w:rsidR="00656F99" w:rsidRPr="00A2216A" w:rsidRDefault="00656F99" w:rsidP="00A2216A">
            <w:pPr>
              <w:pStyle w:val="1BODY-Arial11"/>
            </w:pPr>
            <w:r w:rsidRPr="00A2216A">
              <w:t>Project Director</w:t>
            </w:r>
          </w:p>
        </w:tc>
        <w:tc>
          <w:tcPr>
            <w:tcW w:w="7513" w:type="dxa"/>
            <w:tcBorders>
              <w:top w:val="nil"/>
              <w:left w:val="nil"/>
              <w:bottom w:val="single" w:sz="4" w:space="0" w:color="BFBFBF"/>
              <w:right w:val="single" w:sz="4" w:space="0" w:color="BFBFBF"/>
            </w:tcBorders>
            <w:shd w:val="clear" w:color="000000" w:fill="FFFFFF"/>
            <w:vAlign w:val="center"/>
            <w:hideMark/>
          </w:tcPr>
          <w:p w14:paraId="1A9D04A0" w14:textId="07686356" w:rsidR="00656F99" w:rsidRPr="00A2216A" w:rsidRDefault="00656F99" w:rsidP="00A2216A">
            <w:pPr>
              <w:pStyle w:val="1BODY-Arial11"/>
            </w:pPr>
            <w:r w:rsidRPr="00A2216A">
              <w:t xml:space="preserve">Local official or employee of Grant Recipient designated to prepare and submit grant related documents in TDA-GO; must be certified as TxCDBG Certified Administrators to </w:t>
            </w:r>
            <w:proofErr w:type="gramStart"/>
            <w:r w:rsidRPr="00A2216A">
              <w:t>take action</w:t>
            </w:r>
            <w:proofErr w:type="gramEnd"/>
            <w:r w:rsidRPr="00A2216A">
              <w:t xml:space="preserve"> once the grant agreement is executed</w:t>
            </w:r>
          </w:p>
        </w:tc>
      </w:tr>
      <w:tr w:rsidR="00656F99" w:rsidRPr="00656F99" w14:paraId="082648AA" w14:textId="77777777" w:rsidTr="00656F99">
        <w:trPr>
          <w:trHeight w:val="780"/>
        </w:trPr>
        <w:tc>
          <w:tcPr>
            <w:tcW w:w="2022" w:type="dxa"/>
            <w:tcBorders>
              <w:top w:val="nil"/>
              <w:left w:val="single" w:sz="4" w:space="0" w:color="BFBFBF"/>
              <w:bottom w:val="single" w:sz="4" w:space="0" w:color="BFBFBF"/>
              <w:right w:val="single" w:sz="4" w:space="0" w:color="BFBFBF"/>
            </w:tcBorders>
            <w:shd w:val="clear" w:color="auto" w:fill="auto"/>
            <w:vAlign w:val="center"/>
            <w:hideMark/>
          </w:tcPr>
          <w:p w14:paraId="35C5A99A" w14:textId="77777777" w:rsidR="00656F99" w:rsidRPr="00A2216A" w:rsidRDefault="00656F99" w:rsidP="00A2216A">
            <w:pPr>
              <w:pStyle w:val="1BODY-Arial11"/>
            </w:pPr>
            <w:r w:rsidRPr="00A2216A">
              <w:t>Payment Processor</w:t>
            </w:r>
          </w:p>
        </w:tc>
        <w:tc>
          <w:tcPr>
            <w:tcW w:w="7513" w:type="dxa"/>
            <w:tcBorders>
              <w:top w:val="nil"/>
              <w:left w:val="nil"/>
              <w:bottom w:val="single" w:sz="4" w:space="0" w:color="BFBFBF"/>
              <w:right w:val="single" w:sz="4" w:space="0" w:color="BFBFBF"/>
            </w:tcBorders>
            <w:shd w:val="clear" w:color="000000" w:fill="FFFFFF"/>
            <w:vAlign w:val="center"/>
            <w:hideMark/>
          </w:tcPr>
          <w:p w14:paraId="7B084AB0" w14:textId="77777777" w:rsidR="00656F99" w:rsidRPr="00A2216A" w:rsidRDefault="00656F99" w:rsidP="00A2216A">
            <w:pPr>
              <w:pStyle w:val="1BODY-Arial11"/>
            </w:pPr>
            <w:r w:rsidRPr="00A2216A">
              <w:t>Local official or employee of Grant Recipient authorized to prepare and submit payment request documentation only</w:t>
            </w:r>
          </w:p>
        </w:tc>
      </w:tr>
      <w:tr w:rsidR="00656F99" w:rsidRPr="00656F99" w14:paraId="11C0BBBA" w14:textId="77777777" w:rsidTr="00656F99">
        <w:trPr>
          <w:trHeight w:val="1300"/>
        </w:trPr>
        <w:tc>
          <w:tcPr>
            <w:tcW w:w="2022" w:type="dxa"/>
            <w:tcBorders>
              <w:top w:val="nil"/>
              <w:left w:val="single" w:sz="4" w:space="0" w:color="BFBFBF"/>
              <w:bottom w:val="single" w:sz="4" w:space="0" w:color="BFBFBF"/>
              <w:right w:val="single" w:sz="4" w:space="0" w:color="BFBFBF"/>
            </w:tcBorders>
            <w:shd w:val="clear" w:color="auto" w:fill="auto"/>
            <w:vAlign w:val="center"/>
            <w:hideMark/>
          </w:tcPr>
          <w:p w14:paraId="3FBE45A6" w14:textId="77777777" w:rsidR="00656F99" w:rsidRPr="00A2216A" w:rsidRDefault="00656F99" w:rsidP="00A2216A">
            <w:pPr>
              <w:pStyle w:val="1BODY-Arial11"/>
            </w:pPr>
            <w:r w:rsidRPr="00A2216A">
              <w:t>Consultant</w:t>
            </w:r>
          </w:p>
        </w:tc>
        <w:tc>
          <w:tcPr>
            <w:tcW w:w="7513" w:type="dxa"/>
            <w:tcBorders>
              <w:top w:val="nil"/>
              <w:left w:val="nil"/>
              <w:bottom w:val="single" w:sz="4" w:space="0" w:color="BFBFBF"/>
              <w:right w:val="single" w:sz="4" w:space="0" w:color="BFBFBF"/>
            </w:tcBorders>
            <w:shd w:val="clear" w:color="000000" w:fill="FFFFFF"/>
            <w:vAlign w:val="center"/>
            <w:hideMark/>
          </w:tcPr>
          <w:p w14:paraId="0182CB5F" w14:textId="77777777" w:rsidR="00656F99" w:rsidRPr="00A2216A" w:rsidRDefault="00656F99" w:rsidP="00A2216A">
            <w:pPr>
              <w:pStyle w:val="1BODY-Arial11"/>
            </w:pPr>
            <w:r w:rsidRPr="00A2216A">
              <w:t xml:space="preserve">Third party staff authorized through procured contract or other agreement to prepare and submit grant related documents in TDA-GO; must be certified as TxCDBG Certified Administrators to </w:t>
            </w:r>
            <w:proofErr w:type="gramStart"/>
            <w:r w:rsidRPr="00A2216A">
              <w:t>take action</w:t>
            </w:r>
            <w:proofErr w:type="gramEnd"/>
            <w:r w:rsidRPr="00A2216A">
              <w:t xml:space="preserve"> once the grant agreement is executed</w:t>
            </w:r>
          </w:p>
        </w:tc>
      </w:tr>
      <w:tr w:rsidR="00656F99" w:rsidRPr="00656F99" w14:paraId="0093CD2A" w14:textId="77777777" w:rsidTr="00656F99">
        <w:trPr>
          <w:trHeight w:val="780"/>
        </w:trPr>
        <w:tc>
          <w:tcPr>
            <w:tcW w:w="2022" w:type="dxa"/>
            <w:tcBorders>
              <w:top w:val="nil"/>
              <w:left w:val="single" w:sz="4" w:space="0" w:color="BFBFBF"/>
              <w:bottom w:val="single" w:sz="4" w:space="0" w:color="BFBFBF"/>
              <w:right w:val="single" w:sz="4" w:space="0" w:color="BFBFBF"/>
            </w:tcBorders>
            <w:shd w:val="clear" w:color="auto" w:fill="auto"/>
            <w:vAlign w:val="center"/>
            <w:hideMark/>
          </w:tcPr>
          <w:p w14:paraId="29EE9B99" w14:textId="77777777" w:rsidR="00656F99" w:rsidRPr="00A2216A" w:rsidRDefault="00656F99" w:rsidP="00A2216A">
            <w:pPr>
              <w:pStyle w:val="1BODY-Arial11"/>
            </w:pPr>
            <w:r w:rsidRPr="00A2216A">
              <w:t>Agency Viewer</w:t>
            </w:r>
          </w:p>
        </w:tc>
        <w:tc>
          <w:tcPr>
            <w:tcW w:w="7513" w:type="dxa"/>
            <w:tcBorders>
              <w:top w:val="nil"/>
              <w:left w:val="nil"/>
              <w:bottom w:val="single" w:sz="4" w:space="0" w:color="BFBFBF"/>
              <w:right w:val="single" w:sz="4" w:space="0" w:color="BFBFBF"/>
            </w:tcBorders>
            <w:shd w:val="clear" w:color="000000" w:fill="FFFFFF"/>
            <w:vAlign w:val="center"/>
            <w:hideMark/>
          </w:tcPr>
          <w:p w14:paraId="41D4176F" w14:textId="341C544C" w:rsidR="00656F99" w:rsidRPr="00A2216A" w:rsidRDefault="00656F99" w:rsidP="00A2216A">
            <w:pPr>
              <w:pStyle w:val="1BODY-Arial11"/>
            </w:pPr>
            <w:r w:rsidRPr="00A2216A">
              <w:t>Local official or employee of the Organization that is granted view only access to applications in the TDA-GO system</w:t>
            </w:r>
          </w:p>
        </w:tc>
      </w:tr>
    </w:tbl>
    <w:p w14:paraId="0DB263AC" w14:textId="4C85A955" w:rsidR="00A2216A" w:rsidRDefault="00A2216A" w:rsidP="00A2216A">
      <w:pPr>
        <w:pStyle w:val="1BODY-Arial11"/>
      </w:pPr>
    </w:p>
    <w:p w14:paraId="3EBE048F" w14:textId="135B0BC6" w:rsidR="00A2216A" w:rsidRDefault="00A2216A" w:rsidP="00A2216A">
      <w:pPr>
        <w:pStyle w:val="1BODY-Arial11"/>
      </w:pPr>
    </w:p>
    <w:p w14:paraId="0515AA39" w14:textId="14328E1A" w:rsidR="00CC3E4C" w:rsidRDefault="00CC3E4C" w:rsidP="00A2216A">
      <w:pPr>
        <w:pStyle w:val="1BODY-Arial11"/>
      </w:pPr>
    </w:p>
    <w:p w14:paraId="728247F2" w14:textId="0B0EFA37" w:rsidR="00822B48" w:rsidRDefault="00822B48" w:rsidP="00A2216A">
      <w:pPr>
        <w:pStyle w:val="1BODY-Arial11"/>
      </w:pPr>
    </w:p>
    <w:p w14:paraId="58A1C7A7" w14:textId="517529EF" w:rsidR="00822B48" w:rsidRDefault="00822B48" w:rsidP="00A2216A">
      <w:pPr>
        <w:pStyle w:val="1BODY-Arial11"/>
      </w:pPr>
    </w:p>
    <w:p w14:paraId="16D68E9E" w14:textId="402A003E" w:rsidR="00822B48" w:rsidRDefault="00822B48" w:rsidP="00A2216A">
      <w:pPr>
        <w:pStyle w:val="1BODY-Arial11"/>
      </w:pPr>
    </w:p>
    <w:p w14:paraId="265810E2" w14:textId="1B8C7716" w:rsidR="00822B48" w:rsidRDefault="00822B48" w:rsidP="00A2216A">
      <w:pPr>
        <w:pStyle w:val="1BODY-Arial11"/>
      </w:pPr>
    </w:p>
    <w:p w14:paraId="76C13751" w14:textId="6D7424B2" w:rsidR="00822B48" w:rsidRDefault="00822B48" w:rsidP="00A2216A">
      <w:pPr>
        <w:pStyle w:val="1BODY-Arial11"/>
      </w:pPr>
    </w:p>
    <w:p w14:paraId="1BB0ADB0" w14:textId="6403F780" w:rsidR="00822B48" w:rsidRDefault="00822B48" w:rsidP="00A2216A">
      <w:pPr>
        <w:pStyle w:val="1BODY-Arial11"/>
      </w:pPr>
    </w:p>
    <w:p w14:paraId="584740B8" w14:textId="408ABD2B" w:rsidR="00822B48" w:rsidRDefault="00822B48" w:rsidP="00A2216A">
      <w:pPr>
        <w:pStyle w:val="1BODY-Arial11"/>
      </w:pPr>
    </w:p>
    <w:p w14:paraId="365CE32D" w14:textId="77777777" w:rsidR="00822B48" w:rsidRPr="004E125B" w:rsidRDefault="00822B48" w:rsidP="00822B48">
      <w:pPr>
        <w:pStyle w:val="Style1"/>
        <w:rPr>
          <w:sz w:val="28"/>
          <w:szCs w:val="28"/>
        </w:rPr>
      </w:pPr>
      <w:r>
        <w:rPr>
          <w:noProof/>
        </w:rPr>
        <w:lastRenderedPageBreak/>
        <w:drawing>
          <wp:anchor distT="0" distB="0" distL="182880" distR="182880" simplePos="0" relativeHeight="251663360" behindDoc="0" locked="0" layoutInCell="1" allowOverlap="1" wp14:anchorId="4544A71C" wp14:editId="3F2B1322">
            <wp:simplePos x="0" y="0"/>
            <wp:positionH relativeFrom="column">
              <wp:posOffset>3670300</wp:posOffset>
            </wp:positionH>
            <wp:positionV relativeFrom="paragraph">
              <wp:posOffset>0</wp:posOffset>
            </wp:positionV>
            <wp:extent cx="2724785" cy="8023225"/>
            <wp:effectExtent l="0" t="0" r="5715" b="3175"/>
            <wp:wrapSquare wrapText="bothSides"/>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24785" cy="8023225"/>
                    </a:xfrm>
                    <a:prstGeom prst="rect">
                      <a:avLst/>
                    </a:prstGeom>
                  </pic:spPr>
                </pic:pic>
              </a:graphicData>
            </a:graphic>
            <wp14:sizeRelH relativeFrom="page">
              <wp14:pctWidth>0</wp14:pctWidth>
            </wp14:sizeRelH>
            <wp14:sizeRelV relativeFrom="page">
              <wp14:pctHeight>0</wp14:pctHeight>
            </wp14:sizeRelV>
          </wp:anchor>
        </w:drawing>
      </w:r>
      <w:r w:rsidRPr="004E125B">
        <w:rPr>
          <w:sz w:val="28"/>
          <w:szCs w:val="28"/>
        </w:rPr>
        <w:t>Key TDA-GO Functions</w:t>
      </w:r>
    </w:p>
    <w:p w14:paraId="24840ED0" w14:textId="77777777" w:rsidR="00822B48" w:rsidRDefault="00822B48" w:rsidP="00822B48">
      <w:pPr>
        <w:pStyle w:val="1BODY-Arial11"/>
        <w:rPr>
          <w:b/>
          <w:bCs/>
        </w:rPr>
      </w:pPr>
    </w:p>
    <w:p w14:paraId="793916C1" w14:textId="77777777" w:rsidR="00822B48" w:rsidRDefault="00822B48" w:rsidP="00822B48">
      <w:pPr>
        <w:pStyle w:val="1BODY-Arial11"/>
        <w:rPr>
          <w:b/>
          <w:bCs/>
        </w:rPr>
      </w:pPr>
      <w:r>
        <w:rPr>
          <w:b/>
          <w:bCs/>
        </w:rPr>
        <w:t>Navigating the Document</w:t>
      </w:r>
    </w:p>
    <w:p w14:paraId="1E2AD81C" w14:textId="77777777" w:rsidR="00822B48" w:rsidRDefault="00822B48" w:rsidP="00822B48">
      <w:pPr>
        <w:pStyle w:val="1BODY-Arial11"/>
        <w:rPr>
          <w:b/>
          <w:bCs/>
        </w:rPr>
      </w:pPr>
    </w:p>
    <w:p w14:paraId="6CB17685" w14:textId="77777777" w:rsidR="00822B48" w:rsidRDefault="00822B48" w:rsidP="00822B48">
      <w:pPr>
        <w:pStyle w:val="1BODY-Arial11"/>
      </w:pPr>
      <w:r>
        <w:t>The TDA-GO grant document, referred to in the system as the Application for the entire project, is navigated using the navigation menu that appears on the left side of every TDA-GO page. The menu includes several major sections, with headings shown as dark blue bars:</w:t>
      </w:r>
    </w:p>
    <w:p w14:paraId="6F1CD00A" w14:textId="77777777" w:rsidR="00822B48" w:rsidRDefault="00822B48" w:rsidP="00822B48">
      <w:pPr>
        <w:pStyle w:val="1BODY-Arial11"/>
      </w:pPr>
    </w:p>
    <w:p w14:paraId="3F65F60F" w14:textId="77777777" w:rsidR="00822B48" w:rsidRDefault="00822B48" w:rsidP="00822B48">
      <w:pPr>
        <w:pStyle w:val="BullletbodyArial11"/>
        <w:jc w:val="left"/>
      </w:pPr>
      <w:r w:rsidRPr="007544A5">
        <w:rPr>
          <w:b/>
          <w:bCs/>
        </w:rPr>
        <w:t>Application</w:t>
      </w:r>
      <w:r>
        <w:t xml:space="preserve"> – Forms originally completed by the Grant Recipient when applying for grant funding.</w:t>
      </w:r>
    </w:p>
    <w:p w14:paraId="459D82FA" w14:textId="77777777" w:rsidR="00822B48" w:rsidRDefault="00822B48" w:rsidP="00822B48">
      <w:pPr>
        <w:pStyle w:val="BullletbodyArial11"/>
        <w:numPr>
          <w:ilvl w:val="0"/>
          <w:numId w:val="0"/>
        </w:numPr>
        <w:ind w:left="720"/>
        <w:jc w:val="left"/>
      </w:pPr>
    </w:p>
    <w:p w14:paraId="46B68F61" w14:textId="77777777" w:rsidR="00822B48" w:rsidRDefault="00822B48" w:rsidP="00822B48">
      <w:pPr>
        <w:pStyle w:val="BullletbodyArial11"/>
        <w:jc w:val="left"/>
      </w:pPr>
      <w:r w:rsidRPr="007544A5">
        <w:rPr>
          <w:b/>
          <w:bCs/>
        </w:rPr>
        <w:t>Award</w:t>
      </w:r>
      <w:r>
        <w:t xml:space="preserve"> – Includes the grant agreement and other project information that may be updated throughout the agreement period.</w:t>
      </w:r>
    </w:p>
    <w:p w14:paraId="64A75EEB" w14:textId="77777777" w:rsidR="00822B48" w:rsidRDefault="00822B48" w:rsidP="00822B48">
      <w:pPr>
        <w:pStyle w:val="BullletbodyArial11"/>
        <w:numPr>
          <w:ilvl w:val="0"/>
          <w:numId w:val="0"/>
        </w:numPr>
        <w:ind w:left="720"/>
        <w:jc w:val="left"/>
      </w:pPr>
    </w:p>
    <w:p w14:paraId="03F13FAE" w14:textId="77777777" w:rsidR="00822B48" w:rsidRDefault="00822B48" w:rsidP="00822B48">
      <w:pPr>
        <w:pStyle w:val="BullletbodyArial11"/>
        <w:jc w:val="left"/>
      </w:pPr>
      <w:r w:rsidRPr="007544A5">
        <w:rPr>
          <w:b/>
          <w:bCs/>
        </w:rPr>
        <w:t>Status Options</w:t>
      </w:r>
      <w:r>
        <w:t xml:space="preserve"> – See discussion below.</w:t>
      </w:r>
    </w:p>
    <w:p w14:paraId="5924B5AD" w14:textId="77777777" w:rsidR="00822B48" w:rsidRDefault="00822B48" w:rsidP="00822B48">
      <w:pPr>
        <w:pStyle w:val="BullletbodyArial11"/>
        <w:numPr>
          <w:ilvl w:val="0"/>
          <w:numId w:val="0"/>
        </w:numPr>
        <w:ind w:left="720"/>
        <w:jc w:val="left"/>
      </w:pPr>
    </w:p>
    <w:p w14:paraId="705A81EA" w14:textId="77777777" w:rsidR="00822B48" w:rsidRDefault="00822B48" w:rsidP="00822B48">
      <w:pPr>
        <w:pStyle w:val="BullletbodyArial11"/>
        <w:jc w:val="left"/>
      </w:pPr>
      <w:r w:rsidRPr="007544A5">
        <w:rPr>
          <w:b/>
          <w:bCs/>
        </w:rPr>
        <w:t>Tools</w:t>
      </w:r>
      <w:r>
        <w:t xml:space="preserve"> – Includes tools for</w:t>
      </w:r>
      <w:r w:rsidRPr="00B654B0">
        <w:t xml:space="preserve"> </w:t>
      </w:r>
      <w:r>
        <w:t xml:space="preserve">managing access to and recording action history for the grant </w:t>
      </w:r>
      <w:proofErr w:type="gramStart"/>
      <w:r>
        <w:t>document .</w:t>
      </w:r>
      <w:proofErr w:type="gramEnd"/>
    </w:p>
    <w:p w14:paraId="5B36E691" w14:textId="77777777" w:rsidR="00822B48" w:rsidRDefault="00822B48" w:rsidP="00822B48">
      <w:pPr>
        <w:pStyle w:val="BullletbodyArial11"/>
        <w:numPr>
          <w:ilvl w:val="0"/>
          <w:numId w:val="0"/>
        </w:numPr>
        <w:jc w:val="left"/>
      </w:pPr>
    </w:p>
    <w:p w14:paraId="64382C8E" w14:textId="77777777" w:rsidR="00822B48" w:rsidRDefault="00822B48" w:rsidP="00822B48">
      <w:pPr>
        <w:pStyle w:val="BullletbodyArial11"/>
        <w:jc w:val="left"/>
      </w:pPr>
      <w:r w:rsidRPr="007544A5">
        <w:rPr>
          <w:b/>
          <w:bCs/>
        </w:rPr>
        <w:t>Related Documents</w:t>
      </w:r>
      <w:r>
        <w:t xml:space="preserve"> – Subdocuments that are related to the grant agreement and submitted for TDA action, including Payment Requests and Performance Reports.</w:t>
      </w:r>
    </w:p>
    <w:p w14:paraId="5A12224B" w14:textId="77777777" w:rsidR="00822B48" w:rsidRDefault="00822B48" w:rsidP="00822B48">
      <w:pPr>
        <w:pStyle w:val="1BODY-Arial11"/>
        <w:rPr>
          <w:b/>
          <w:bCs/>
        </w:rPr>
      </w:pPr>
    </w:p>
    <w:p w14:paraId="04BA87DE" w14:textId="77777777" w:rsidR="00822B48" w:rsidRDefault="00822B48" w:rsidP="00822B48">
      <w:pPr>
        <w:pStyle w:val="1BODY-Arial11"/>
        <w:rPr>
          <w:b/>
          <w:bCs/>
        </w:rPr>
      </w:pPr>
    </w:p>
    <w:p w14:paraId="02FB035A" w14:textId="77777777" w:rsidR="00822B48" w:rsidRDefault="00822B48" w:rsidP="00822B48">
      <w:pPr>
        <w:pStyle w:val="1BODY-Arial11"/>
        <w:rPr>
          <w:b/>
          <w:bCs/>
        </w:rPr>
      </w:pPr>
    </w:p>
    <w:p w14:paraId="72BC53E8" w14:textId="77777777" w:rsidR="00822B48" w:rsidRDefault="00822B48" w:rsidP="00822B48">
      <w:pPr>
        <w:pStyle w:val="1BODY-Arial11"/>
        <w:rPr>
          <w:b/>
          <w:bCs/>
        </w:rPr>
      </w:pPr>
    </w:p>
    <w:p w14:paraId="3DEBDEAC" w14:textId="77777777" w:rsidR="00822B48" w:rsidRDefault="00822B48" w:rsidP="00822B48">
      <w:pPr>
        <w:pStyle w:val="1BODY-Arial11"/>
        <w:rPr>
          <w:b/>
          <w:bCs/>
        </w:rPr>
      </w:pPr>
    </w:p>
    <w:p w14:paraId="1CCA52EA" w14:textId="77777777" w:rsidR="00822B48" w:rsidRDefault="00822B48" w:rsidP="00822B48">
      <w:pPr>
        <w:pStyle w:val="1BODY-Arial11"/>
        <w:rPr>
          <w:b/>
          <w:bCs/>
        </w:rPr>
      </w:pPr>
    </w:p>
    <w:p w14:paraId="18DB9A1A" w14:textId="77777777" w:rsidR="00822B48" w:rsidRDefault="00822B48" w:rsidP="00822B48">
      <w:pPr>
        <w:pStyle w:val="1BODY-Arial11"/>
        <w:rPr>
          <w:b/>
          <w:bCs/>
        </w:rPr>
      </w:pPr>
    </w:p>
    <w:p w14:paraId="3BB388AC" w14:textId="77777777" w:rsidR="00822B48" w:rsidRDefault="00822B48" w:rsidP="00822B48">
      <w:pPr>
        <w:pStyle w:val="1BODY-Arial11"/>
        <w:rPr>
          <w:b/>
          <w:bCs/>
        </w:rPr>
      </w:pPr>
    </w:p>
    <w:p w14:paraId="718F1549" w14:textId="77777777" w:rsidR="00822B48" w:rsidRDefault="00822B48" w:rsidP="00822B48">
      <w:pPr>
        <w:pStyle w:val="1BODY-Arial11"/>
        <w:rPr>
          <w:b/>
          <w:bCs/>
        </w:rPr>
      </w:pPr>
    </w:p>
    <w:p w14:paraId="19307374" w14:textId="77777777" w:rsidR="00822B48" w:rsidRDefault="00822B48" w:rsidP="00822B48">
      <w:pPr>
        <w:pStyle w:val="1BODY-Arial11"/>
        <w:rPr>
          <w:b/>
          <w:bCs/>
        </w:rPr>
      </w:pPr>
    </w:p>
    <w:p w14:paraId="72C9EC33" w14:textId="77777777" w:rsidR="00822B48" w:rsidRDefault="00822B48" w:rsidP="00822B48">
      <w:pPr>
        <w:pStyle w:val="1BODY-Arial11"/>
        <w:rPr>
          <w:b/>
          <w:bCs/>
        </w:rPr>
      </w:pPr>
    </w:p>
    <w:p w14:paraId="4777502C" w14:textId="77777777" w:rsidR="00822B48" w:rsidRDefault="00822B48" w:rsidP="00822B48">
      <w:pPr>
        <w:pStyle w:val="1BODY-Arial11"/>
        <w:rPr>
          <w:b/>
          <w:bCs/>
        </w:rPr>
      </w:pPr>
    </w:p>
    <w:p w14:paraId="474B7456" w14:textId="77777777" w:rsidR="00822B48" w:rsidRDefault="00822B48" w:rsidP="00822B48">
      <w:pPr>
        <w:pStyle w:val="1BODY-Arial11"/>
        <w:rPr>
          <w:b/>
          <w:bCs/>
        </w:rPr>
      </w:pPr>
    </w:p>
    <w:p w14:paraId="34BAE49B" w14:textId="77777777" w:rsidR="00822B48" w:rsidRDefault="00822B48" w:rsidP="00822B48">
      <w:pPr>
        <w:pStyle w:val="1BODY-Arial11"/>
        <w:rPr>
          <w:b/>
          <w:bCs/>
        </w:rPr>
      </w:pPr>
    </w:p>
    <w:p w14:paraId="00E0CE3A" w14:textId="77777777" w:rsidR="00822B48" w:rsidRDefault="00822B48" w:rsidP="00822B48">
      <w:pPr>
        <w:pStyle w:val="1BODY-Arial11"/>
        <w:rPr>
          <w:b/>
          <w:bCs/>
        </w:rPr>
      </w:pPr>
    </w:p>
    <w:p w14:paraId="4B543839" w14:textId="77777777" w:rsidR="00822B48" w:rsidRDefault="00822B48" w:rsidP="00822B48">
      <w:pPr>
        <w:pStyle w:val="1BODY-Arial11"/>
        <w:rPr>
          <w:b/>
          <w:bCs/>
        </w:rPr>
      </w:pPr>
    </w:p>
    <w:p w14:paraId="78FDC28A" w14:textId="77777777" w:rsidR="00822B48" w:rsidRDefault="00822B48" w:rsidP="00822B48">
      <w:pPr>
        <w:pStyle w:val="1BODY-Arial11"/>
        <w:rPr>
          <w:b/>
          <w:bCs/>
        </w:rPr>
      </w:pPr>
    </w:p>
    <w:p w14:paraId="3A1D19A6" w14:textId="77777777" w:rsidR="00822B48" w:rsidRDefault="00822B48" w:rsidP="00822B48">
      <w:pPr>
        <w:pStyle w:val="1BODY-Arial11"/>
        <w:rPr>
          <w:b/>
          <w:bCs/>
        </w:rPr>
      </w:pPr>
    </w:p>
    <w:p w14:paraId="096DD657" w14:textId="77777777" w:rsidR="00822B48" w:rsidRPr="00257F2B" w:rsidRDefault="00822B48" w:rsidP="00822B48">
      <w:pPr>
        <w:pStyle w:val="1BODY-Arial11"/>
        <w:rPr>
          <w:b/>
          <w:bCs/>
        </w:rPr>
      </w:pPr>
      <w:r w:rsidRPr="00257F2B">
        <w:rPr>
          <w:b/>
          <w:bCs/>
        </w:rPr>
        <w:lastRenderedPageBreak/>
        <w:t>Saving the Page</w:t>
      </w:r>
    </w:p>
    <w:p w14:paraId="55C483B2" w14:textId="77777777" w:rsidR="00822B48" w:rsidRDefault="00822B48" w:rsidP="00822B48">
      <w:pPr>
        <w:pStyle w:val="1BODY-Arial11"/>
      </w:pPr>
      <w:r>
        <w:t xml:space="preserve">Throughout the life of the project, the Grant Recipient will provide information, including reporting data and documents, to TDA through the TDA-GO system.  System roles with permission to complete these entries will have a </w:t>
      </w:r>
      <w:r w:rsidRPr="00A5160F">
        <w:rPr>
          <w:b/>
          <w:bCs/>
        </w:rPr>
        <w:t>Save</w:t>
      </w:r>
      <w:r>
        <w:t xml:space="preserve"> button in the top right corner of the page.</w:t>
      </w:r>
    </w:p>
    <w:p w14:paraId="6EFD376D" w14:textId="77777777" w:rsidR="00822B48" w:rsidRDefault="00822B48" w:rsidP="00822B48">
      <w:pPr>
        <w:pStyle w:val="1BODY-Arial11"/>
      </w:pPr>
      <w:r>
        <w:rPr>
          <w:noProof/>
        </w:rPr>
        <w:drawing>
          <wp:anchor distT="0" distB="0" distL="114300" distR="114300" simplePos="0" relativeHeight="251659264" behindDoc="0" locked="0" layoutInCell="1" allowOverlap="1" wp14:anchorId="254F67B6" wp14:editId="724A64E4">
            <wp:simplePos x="0" y="0"/>
            <wp:positionH relativeFrom="column">
              <wp:posOffset>21715</wp:posOffset>
            </wp:positionH>
            <wp:positionV relativeFrom="paragraph">
              <wp:posOffset>104140</wp:posOffset>
            </wp:positionV>
            <wp:extent cx="5943600" cy="1410335"/>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1410335"/>
                    </a:xfrm>
                    <a:prstGeom prst="rect">
                      <a:avLst/>
                    </a:prstGeom>
                  </pic:spPr>
                </pic:pic>
              </a:graphicData>
            </a:graphic>
            <wp14:sizeRelH relativeFrom="page">
              <wp14:pctWidth>0</wp14:pctWidth>
            </wp14:sizeRelH>
            <wp14:sizeRelV relativeFrom="page">
              <wp14:pctHeight>0</wp14:pctHeight>
            </wp14:sizeRelV>
          </wp:anchor>
        </w:drawing>
      </w:r>
    </w:p>
    <w:p w14:paraId="034442CB" w14:textId="77777777" w:rsidR="00822B48" w:rsidRDefault="00822B48" w:rsidP="00822B48">
      <w:pPr>
        <w:pStyle w:val="1BODY-Arial11"/>
      </w:pPr>
    </w:p>
    <w:p w14:paraId="6CC31253" w14:textId="77777777" w:rsidR="00822B48" w:rsidRDefault="00822B48" w:rsidP="00822B48">
      <w:pPr>
        <w:pStyle w:val="1BODY-Arial11"/>
      </w:pPr>
    </w:p>
    <w:p w14:paraId="12A2FD48" w14:textId="77777777" w:rsidR="00822B48" w:rsidRDefault="00822B48" w:rsidP="00822B48">
      <w:pPr>
        <w:pStyle w:val="1BODY-Arial11"/>
      </w:pPr>
      <w:r>
        <w:rPr>
          <w:noProof/>
        </w:rPr>
        <mc:AlternateContent>
          <mc:Choice Requires="wps">
            <w:drawing>
              <wp:anchor distT="0" distB="0" distL="114300" distR="114300" simplePos="0" relativeHeight="251660288" behindDoc="0" locked="0" layoutInCell="1" allowOverlap="1" wp14:anchorId="2B0D6C60" wp14:editId="3D0367EE">
                <wp:simplePos x="0" y="0"/>
                <wp:positionH relativeFrom="column">
                  <wp:posOffset>5570855</wp:posOffset>
                </wp:positionH>
                <wp:positionV relativeFrom="paragraph">
                  <wp:posOffset>124585</wp:posOffset>
                </wp:positionV>
                <wp:extent cx="321945" cy="194310"/>
                <wp:effectExtent l="12700" t="12700" r="8255" b="8890"/>
                <wp:wrapNone/>
                <wp:docPr id="3" name="Rectangle 3"/>
                <wp:cNvGraphicFramePr/>
                <a:graphic xmlns:a="http://schemas.openxmlformats.org/drawingml/2006/main">
                  <a:graphicData uri="http://schemas.microsoft.com/office/word/2010/wordprocessingShape">
                    <wps:wsp>
                      <wps:cNvSpPr/>
                      <wps:spPr>
                        <a:xfrm>
                          <a:off x="0" y="0"/>
                          <a:ext cx="321945" cy="1943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31973" id="Rectangle 3" o:spid="_x0000_s1026" style="position:absolute;margin-left:438.65pt;margin-top:9.8pt;width:25.35pt;height:15.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" filled="f" strokecolor="red" strokeweight="2.25pt"/>
            </w:pict>
          </mc:Fallback>
        </mc:AlternateContent>
      </w:r>
    </w:p>
    <w:p w14:paraId="11DB78C5" w14:textId="77777777" w:rsidR="00822B48" w:rsidRDefault="00822B48" w:rsidP="00822B48">
      <w:pPr>
        <w:pStyle w:val="1BODY-Arial11"/>
      </w:pPr>
    </w:p>
    <w:p w14:paraId="2BB4C73A" w14:textId="77777777" w:rsidR="00822B48" w:rsidRDefault="00822B48" w:rsidP="00822B48">
      <w:pPr>
        <w:pStyle w:val="1BODY-Arial11"/>
      </w:pPr>
    </w:p>
    <w:p w14:paraId="514BD59C" w14:textId="77777777" w:rsidR="00822B48" w:rsidRDefault="00822B48" w:rsidP="00822B48">
      <w:pPr>
        <w:pStyle w:val="1BODY-Arial11"/>
      </w:pPr>
    </w:p>
    <w:p w14:paraId="654E9DD5" w14:textId="77777777" w:rsidR="00822B48" w:rsidRDefault="00822B48" w:rsidP="00822B48">
      <w:pPr>
        <w:pStyle w:val="1BODY-Arial11"/>
      </w:pPr>
    </w:p>
    <w:p w14:paraId="1409DE41" w14:textId="77777777" w:rsidR="00822B48" w:rsidRDefault="00822B48" w:rsidP="00822B48">
      <w:pPr>
        <w:pStyle w:val="1BODY-Arial11"/>
      </w:pPr>
    </w:p>
    <w:p w14:paraId="59A03057" w14:textId="77777777" w:rsidR="00822B48" w:rsidRPr="00A5160F" w:rsidRDefault="00822B48" w:rsidP="00822B48">
      <w:pPr>
        <w:pStyle w:val="1BODY-Arial11"/>
        <w:rPr>
          <w:b/>
          <w:bCs/>
          <w:i/>
          <w:iCs/>
          <w:color w:val="4472C4"/>
          <w:sz w:val="18"/>
          <w:szCs w:val="18"/>
        </w:rPr>
      </w:pPr>
      <w:r w:rsidRPr="00A5160F">
        <w:rPr>
          <w:b/>
          <w:bCs/>
          <w:i/>
          <w:iCs/>
          <w:color w:val="4472C4"/>
          <w:sz w:val="18"/>
          <w:szCs w:val="18"/>
        </w:rPr>
        <w:t>Figure 1. Noting the Save button in the top right corner of the page</w:t>
      </w:r>
    </w:p>
    <w:p w14:paraId="716B5371" w14:textId="77777777" w:rsidR="00822B48" w:rsidRDefault="00822B48" w:rsidP="00822B48">
      <w:pPr>
        <w:pStyle w:val="1BODY-Arial11"/>
      </w:pPr>
    </w:p>
    <w:p w14:paraId="1BC23B89" w14:textId="1EE8420A" w:rsidR="00822B48" w:rsidRDefault="00822B48" w:rsidP="00822B48">
      <w:pPr>
        <w:pStyle w:val="1BODY-Arial11"/>
      </w:pPr>
      <w:r w:rsidRPr="001D02FC">
        <w:rPr>
          <w:b/>
          <w:bCs/>
        </w:rPr>
        <w:t>NOTE</w:t>
      </w:r>
      <w:r>
        <w:t xml:space="preserve">: Certain pages are restricted so that only TxCDBG Certified Administrators (assigned Project Director or Consultant roles) will have permissions to </w:t>
      </w:r>
      <w:r>
        <w:rPr>
          <w:b/>
          <w:bCs/>
        </w:rPr>
        <w:t>S</w:t>
      </w:r>
      <w:r w:rsidRPr="001D02FC">
        <w:rPr>
          <w:b/>
          <w:bCs/>
        </w:rPr>
        <w:t>ave</w:t>
      </w:r>
      <w:r>
        <w:t xml:space="preserve"> the page. Other pages and/or fields are limited to Authorized Officials. </w:t>
      </w:r>
    </w:p>
    <w:p w14:paraId="0572AC92" w14:textId="77777777" w:rsidR="00822B48" w:rsidRDefault="00822B48" w:rsidP="00822B48">
      <w:pPr>
        <w:pStyle w:val="1BODY-Arial11"/>
      </w:pPr>
    </w:p>
    <w:p w14:paraId="1B53208D" w14:textId="5AA959B4" w:rsidR="00822B48" w:rsidRPr="00025F64" w:rsidRDefault="00822B48" w:rsidP="00822B48">
      <w:pPr>
        <w:pStyle w:val="1BODY-Arial11"/>
        <w:rPr>
          <w:b/>
          <w:bCs/>
        </w:rPr>
      </w:pPr>
      <w:r w:rsidRPr="00025F64">
        <w:rPr>
          <w:b/>
          <w:bCs/>
        </w:rPr>
        <w:t>Changing Status</w:t>
      </w:r>
    </w:p>
    <w:p w14:paraId="5F148DF3" w14:textId="2E5255E1" w:rsidR="00822B48" w:rsidRDefault="00822B48" w:rsidP="00822B48">
      <w:pPr>
        <w:pStyle w:val="1BODY-Arial11"/>
      </w:pPr>
      <w:r>
        <w:t xml:space="preserve">Reports and requests are submitted in TDA-GO by changing the status of the TDA-GO form.  The status options available vary based on the </w:t>
      </w:r>
      <w:proofErr w:type="gramStart"/>
      <w:r>
        <w:t>current status</w:t>
      </w:r>
      <w:proofErr w:type="gramEnd"/>
      <w:r>
        <w:t xml:space="preserve"> of the grant and role of the individual user.  </w:t>
      </w:r>
      <w:r w:rsidR="00BB409D">
        <w:t xml:space="preserve">Changing the status of a document </w:t>
      </w:r>
      <w:r w:rsidR="00F60FCA">
        <w:t xml:space="preserve">means updating the role responsible for the next step in the approval process; the previous role may no longer have </w:t>
      </w:r>
      <w:proofErr w:type="gramStart"/>
      <w:r w:rsidR="00F60FCA">
        <w:t>save</w:t>
      </w:r>
      <w:proofErr w:type="gramEnd"/>
      <w:r w:rsidR="00F60FCA">
        <w:t xml:space="preserve"> permissions once the status is updated.</w:t>
      </w:r>
    </w:p>
    <w:p w14:paraId="32967D1E" w14:textId="0CCD0514" w:rsidR="00822B48" w:rsidRDefault="00822B48" w:rsidP="00822B48">
      <w:pPr>
        <w:pStyle w:val="1BODY-Arial11"/>
      </w:pPr>
    </w:p>
    <w:p w14:paraId="524AB992" w14:textId="30487522" w:rsidR="00822B48" w:rsidRDefault="00BB409D" w:rsidP="00822B48">
      <w:pPr>
        <w:pStyle w:val="1BODY-Arial11"/>
      </w:pPr>
      <w:r>
        <w:rPr>
          <w:noProof/>
        </w:rPr>
        <w:drawing>
          <wp:anchor distT="0" distB="0" distL="114300" distR="114300" simplePos="0" relativeHeight="251664384" behindDoc="0" locked="0" layoutInCell="1" allowOverlap="1" wp14:anchorId="10208F75" wp14:editId="278F2EAA">
            <wp:simplePos x="0" y="0"/>
            <wp:positionH relativeFrom="margin">
              <wp:posOffset>4501515</wp:posOffset>
            </wp:positionH>
            <wp:positionV relativeFrom="paragraph">
              <wp:posOffset>12065</wp:posOffset>
            </wp:positionV>
            <wp:extent cx="1718310" cy="3193415"/>
            <wp:effectExtent l="0" t="0" r="0" b="6985"/>
            <wp:wrapSquare wrapText="bothSides"/>
            <wp:docPr id="2" name="Picture 2" descr="A screen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phon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718310" cy="3193415"/>
                    </a:xfrm>
                    <a:prstGeom prst="rect">
                      <a:avLst/>
                    </a:prstGeom>
                  </pic:spPr>
                </pic:pic>
              </a:graphicData>
            </a:graphic>
            <wp14:sizeRelH relativeFrom="page">
              <wp14:pctWidth>0</wp14:pctWidth>
            </wp14:sizeRelH>
            <wp14:sizeRelV relativeFrom="page">
              <wp14:pctHeight>0</wp14:pctHeight>
            </wp14:sizeRelV>
          </wp:anchor>
        </w:drawing>
      </w:r>
      <w:r w:rsidR="00822B48">
        <w:t xml:space="preserve">Identify the </w:t>
      </w:r>
      <w:proofErr w:type="gramStart"/>
      <w:r w:rsidR="00822B48">
        <w:rPr>
          <w:b/>
          <w:bCs/>
        </w:rPr>
        <w:t>current status</w:t>
      </w:r>
      <w:proofErr w:type="gramEnd"/>
      <w:r w:rsidR="00822B48">
        <w:t xml:space="preserve"> by hovering over the application number.</w:t>
      </w:r>
    </w:p>
    <w:p w14:paraId="3C2DFCA1" w14:textId="1FBF0388" w:rsidR="00822B48" w:rsidRPr="00BB409D" w:rsidRDefault="00822B48" w:rsidP="00BB409D">
      <w:pPr>
        <w:pStyle w:val="1BODY-Arial11"/>
        <w:rPr>
          <w:b/>
          <w:bCs/>
          <w:i/>
          <w:iCs/>
          <w:color w:val="4472C4"/>
          <w:sz w:val="18"/>
          <w:szCs w:val="18"/>
        </w:rPr>
      </w:pPr>
      <w:r>
        <w:rPr>
          <w:sz w:val="18"/>
          <w:szCs w:val="18"/>
        </w:rPr>
        <w:t xml:space="preserve">                                                            </w:t>
      </w:r>
    </w:p>
    <w:p w14:paraId="4B417E62" w14:textId="5371B61C" w:rsidR="00822B48" w:rsidRDefault="00822B48" w:rsidP="00822B48">
      <w:pPr>
        <w:pStyle w:val="1BODY-Arial11"/>
      </w:pPr>
      <w:r>
        <w:t xml:space="preserve">Find the </w:t>
      </w:r>
      <w:r w:rsidRPr="00B1455A">
        <w:t>available status options</w:t>
      </w:r>
      <w:r>
        <w:t xml:space="preserve"> by scrolling down the blue navigation menu. Select the </w:t>
      </w:r>
      <w:r w:rsidR="00BB409D">
        <w:t xml:space="preserve">appropriate </w:t>
      </w:r>
      <w:r>
        <w:t xml:space="preserve">menu option </w:t>
      </w:r>
      <w:r w:rsidR="00BB409D">
        <w:t>for the action you wish to take</w:t>
      </w:r>
      <w:r>
        <w:t xml:space="preserve">. </w:t>
      </w:r>
    </w:p>
    <w:p w14:paraId="2A9A63E6" w14:textId="49BBFFED" w:rsidR="00822B48" w:rsidRDefault="00822B48" w:rsidP="00822B48">
      <w:pPr>
        <w:pStyle w:val="1BODY-Arial11"/>
        <w:rPr>
          <w:b/>
          <w:bCs/>
        </w:rPr>
      </w:pPr>
    </w:p>
    <w:p w14:paraId="4EDF24DA" w14:textId="4C642717" w:rsidR="00822B48" w:rsidRDefault="00BB409D" w:rsidP="00822B48">
      <w:pPr>
        <w:pStyle w:val="1BODY-Arial11"/>
      </w:pPr>
      <w:r>
        <w:rPr>
          <w:noProof/>
        </w:rPr>
        <w:drawing>
          <wp:anchor distT="0" distB="0" distL="114300" distR="114300" simplePos="0" relativeHeight="251661312" behindDoc="0" locked="0" layoutInCell="1" allowOverlap="1" wp14:anchorId="46B6F31F" wp14:editId="393C6BCE">
            <wp:simplePos x="0" y="0"/>
            <wp:positionH relativeFrom="margin">
              <wp:align>left</wp:align>
            </wp:positionH>
            <wp:positionV relativeFrom="paragraph">
              <wp:posOffset>13335</wp:posOffset>
            </wp:positionV>
            <wp:extent cx="1094740" cy="1651635"/>
            <wp:effectExtent l="0" t="0" r="0" b="5715"/>
            <wp:wrapSquare wrapText="bothSides"/>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6" cstate="print">
                      <a:extLst>
                        <a:ext uri="{28A0092B-C50C-407E-A947-70E740481C1C}">
                          <a14:useLocalDpi xmlns:a14="http://schemas.microsoft.com/office/drawing/2010/main" val="0"/>
                        </a:ext>
                      </a:extLst>
                    </a:blip>
                    <a:srcRect t="15081" r="85256" b="40478"/>
                    <a:stretch/>
                  </pic:blipFill>
                  <pic:spPr bwMode="auto">
                    <a:xfrm>
                      <a:off x="0" y="0"/>
                      <a:ext cx="1094740" cy="1651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6D3CDD" w14:textId="77777777" w:rsidR="00BB409D" w:rsidRDefault="00BB409D" w:rsidP="00822B48">
      <w:pPr>
        <w:pStyle w:val="1BODY-Arial11"/>
        <w:ind w:left="1440" w:right="-180" w:hanging="1440"/>
        <w:jc w:val="left"/>
        <w:rPr>
          <w:b/>
          <w:bCs/>
          <w:i/>
          <w:iCs/>
          <w:color w:val="4472C4"/>
          <w:sz w:val="18"/>
          <w:szCs w:val="18"/>
        </w:rPr>
      </w:pPr>
    </w:p>
    <w:p w14:paraId="16F8020A" w14:textId="77777777" w:rsidR="00BB409D" w:rsidRDefault="00BB409D" w:rsidP="00822B48">
      <w:pPr>
        <w:pStyle w:val="1BODY-Arial11"/>
        <w:ind w:left="1440" w:right="-180" w:hanging="1440"/>
        <w:jc w:val="left"/>
        <w:rPr>
          <w:b/>
          <w:bCs/>
          <w:i/>
          <w:iCs/>
          <w:color w:val="4472C4"/>
          <w:sz w:val="18"/>
          <w:szCs w:val="18"/>
        </w:rPr>
      </w:pPr>
    </w:p>
    <w:p w14:paraId="2CCB0827" w14:textId="77777777" w:rsidR="00BB409D" w:rsidRDefault="00BB409D" w:rsidP="00822B48">
      <w:pPr>
        <w:pStyle w:val="1BODY-Arial11"/>
        <w:ind w:left="1440" w:right="-180" w:hanging="1440"/>
        <w:jc w:val="left"/>
        <w:rPr>
          <w:b/>
          <w:bCs/>
          <w:i/>
          <w:iCs/>
          <w:color w:val="4472C4"/>
          <w:sz w:val="18"/>
          <w:szCs w:val="18"/>
        </w:rPr>
      </w:pPr>
    </w:p>
    <w:p w14:paraId="3E6FDD97" w14:textId="77777777" w:rsidR="00BB409D" w:rsidRDefault="00BB409D" w:rsidP="00822B48">
      <w:pPr>
        <w:pStyle w:val="1BODY-Arial11"/>
        <w:ind w:left="1440" w:right="-180" w:hanging="1440"/>
        <w:jc w:val="left"/>
        <w:rPr>
          <w:b/>
          <w:bCs/>
          <w:i/>
          <w:iCs/>
          <w:color w:val="4472C4"/>
          <w:sz w:val="18"/>
          <w:szCs w:val="18"/>
        </w:rPr>
      </w:pPr>
    </w:p>
    <w:p w14:paraId="39D3D8F5" w14:textId="01EB370A" w:rsidR="00BB409D" w:rsidRDefault="00BB409D" w:rsidP="00822B48">
      <w:pPr>
        <w:pStyle w:val="1BODY-Arial11"/>
        <w:ind w:left="1440" w:right="-180" w:hanging="1440"/>
        <w:jc w:val="left"/>
        <w:rPr>
          <w:b/>
          <w:bCs/>
          <w:i/>
          <w:iCs/>
          <w:color w:val="4472C4"/>
          <w:sz w:val="18"/>
          <w:szCs w:val="18"/>
        </w:rPr>
      </w:pPr>
      <w:r>
        <w:rPr>
          <w:noProof/>
        </w:rPr>
        <mc:AlternateContent>
          <mc:Choice Requires="wps">
            <w:drawing>
              <wp:anchor distT="0" distB="0" distL="114300" distR="114300" simplePos="0" relativeHeight="251666432" behindDoc="0" locked="0" layoutInCell="1" allowOverlap="1" wp14:anchorId="02078E84" wp14:editId="37AB3F1E">
                <wp:simplePos x="0" y="0"/>
                <wp:positionH relativeFrom="margin">
                  <wp:align>left</wp:align>
                </wp:positionH>
                <wp:positionV relativeFrom="paragraph">
                  <wp:posOffset>83185</wp:posOffset>
                </wp:positionV>
                <wp:extent cx="1035748" cy="207522"/>
                <wp:effectExtent l="19050" t="19050" r="12065" b="21590"/>
                <wp:wrapNone/>
                <wp:docPr id="4" name="Rectangle 4"/>
                <wp:cNvGraphicFramePr/>
                <a:graphic xmlns:a="http://schemas.openxmlformats.org/drawingml/2006/main">
                  <a:graphicData uri="http://schemas.microsoft.com/office/word/2010/wordprocessingShape">
                    <wps:wsp>
                      <wps:cNvSpPr/>
                      <wps:spPr>
                        <a:xfrm>
                          <a:off x="0" y="0"/>
                          <a:ext cx="1035748" cy="20752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2D03F" id="Rectangle 4" o:spid="_x0000_s1026" style="position:absolute;margin-left:0;margin-top:6.55pt;width:81.55pt;height:16.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" filled="f" strokecolor="red" strokeweight="2.25pt">
                <w10:wrap anchorx="margin"/>
              </v:rect>
            </w:pict>
          </mc:Fallback>
        </mc:AlternateContent>
      </w:r>
    </w:p>
    <w:p w14:paraId="385B7DB8" w14:textId="77777777" w:rsidR="00BB409D" w:rsidRDefault="00BB409D" w:rsidP="00BB409D">
      <w:pPr>
        <w:pStyle w:val="1BODY-Arial11"/>
        <w:ind w:right="-450"/>
        <w:jc w:val="left"/>
        <w:rPr>
          <w:b/>
          <w:bCs/>
          <w:i/>
          <w:iCs/>
          <w:color w:val="4472C4"/>
          <w:sz w:val="18"/>
          <w:szCs w:val="18"/>
        </w:rPr>
      </w:pPr>
    </w:p>
    <w:p w14:paraId="58CD2DC0" w14:textId="696CCBEA" w:rsidR="00BB409D" w:rsidRDefault="00BB409D" w:rsidP="00BB409D">
      <w:pPr>
        <w:pStyle w:val="1BODY-Arial11"/>
        <w:ind w:right="-450"/>
        <w:jc w:val="left"/>
        <w:rPr>
          <w:b/>
          <w:bCs/>
          <w:i/>
          <w:iCs/>
          <w:color w:val="4472C4"/>
          <w:sz w:val="18"/>
          <w:szCs w:val="18"/>
        </w:rPr>
      </w:pPr>
    </w:p>
    <w:p w14:paraId="6E66DC6E" w14:textId="4E7B9AF2" w:rsidR="00BB409D" w:rsidRDefault="00BB409D" w:rsidP="00BB409D">
      <w:pPr>
        <w:pStyle w:val="1BODY-Arial11"/>
        <w:ind w:right="-450"/>
        <w:jc w:val="left"/>
        <w:rPr>
          <w:b/>
          <w:bCs/>
          <w:i/>
          <w:iCs/>
          <w:color w:val="4472C4"/>
          <w:sz w:val="18"/>
          <w:szCs w:val="18"/>
        </w:rPr>
      </w:pPr>
    </w:p>
    <w:p w14:paraId="143B34CE" w14:textId="77777777" w:rsidR="00BB409D" w:rsidRDefault="00BB409D" w:rsidP="00BB409D">
      <w:pPr>
        <w:pStyle w:val="1BODY-Arial11"/>
        <w:ind w:right="-450"/>
        <w:jc w:val="left"/>
        <w:rPr>
          <w:b/>
          <w:bCs/>
          <w:i/>
          <w:iCs/>
          <w:color w:val="4472C4"/>
          <w:sz w:val="18"/>
          <w:szCs w:val="18"/>
        </w:rPr>
      </w:pPr>
    </w:p>
    <w:p w14:paraId="431DCD5A" w14:textId="0602506C" w:rsidR="00BB409D" w:rsidRPr="00704227" w:rsidRDefault="00BB409D" w:rsidP="00BB409D">
      <w:pPr>
        <w:pStyle w:val="1BODY-Arial11"/>
        <w:ind w:right="-450"/>
        <w:jc w:val="left"/>
        <w:rPr>
          <w:b/>
          <w:bCs/>
          <w:i/>
          <w:iCs/>
          <w:color w:val="4472C4"/>
          <w:sz w:val="18"/>
          <w:szCs w:val="18"/>
        </w:rPr>
      </w:pPr>
      <w:r w:rsidRPr="00704227">
        <w:rPr>
          <w:b/>
          <w:bCs/>
          <w:i/>
          <w:iCs/>
          <w:color w:val="4472C4"/>
          <w:sz w:val="18"/>
          <w:szCs w:val="18"/>
        </w:rPr>
        <w:t xml:space="preserve">Figure 2. Hover over the application number </w:t>
      </w:r>
    </w:p>
    <w:p w14:paraId="0498876B" w14:textId="2F419483" w:rsidR="00BB409D" w:rsidRDefault="00BB409D" w:rsidP="00BB409D">
      <w:pPr>
        <w:pStyle w:val="1BODY-Arial11"/>
        <w:ind w:right="-180"/>
        <w:jc w:val="left"/>
        <w:rPr>
          <w:b/>
          <w:bCs/>
          <w:i/>
          <w:iCs/>
          <w:color w:val="4472C4"/>
          <w:sz w:val="18"/>
          <w:szCs w:val="18"/>
        </w:rPr>
      </w:pPr>
      <w:r w:rsidRPr="00704227">
        <w:rPr>
          <w:b/>
          <w:bCs/>
          <w:i/>
          <w:iCs/>
          <w:color w:val="4472C4"/>
          <w:sz w:val="18"/>
          <w:szCs w:val="18"/>
        </w:rPr>
        <w:t xml:space="preserve"> for the </w:t>
      </w:r>
      <w:proofErr w:type="gramStart"/>
      <w:r w:rsidRPr="00704227">
        <w:rPr>
          <w:b/>
          <w:bCs/>
          <w:i/>
          <w:iCs/>
          <w:color w:val="4472C4"/>
          <w:sz w:val="18"/>
          <w:szCs w:val="18"/>
        </w:rPr>
        <w:t>current status</w:t>
      </w:r>
      <w:proofErr w:type="gramEnd"/>
    </w:p>
    <w:p w14:paraId="2587EACC" w14:textId="6A8FC04D" w:rsidR="00822B48" w:rsidRPr="004E125B" w:rsidRDefault="00822B48" w:rsidP="00BB409D">
      <w:pPr>
        <w:pStyle w:val="1BODY-Arial11"/>
        <w:ind w:left="6480" w:right="-180" w:firstLine="720"/>
        <w:jc w:val="left"/>
      </w:pPr>
      <w:r w:rsidRPr="00704227">
        <w:rPr>
          <w:b/>
          <w:bCs/>
          <w:i/>
          <w:iCs/>
          <w:color w:val="4472C4"/>
          <w:sz w:val="18"/>
          <w:szCs w:val="18"/>
        </w:rPr>
        <w:t xml:space="preserve">Figure </w:t>
      </w:r>
      <w:r>
        <w:rPr>
          <w:b/>
          <w:bCs/>
          <w:i/>
          <w:iCs/>
          <w:color w:val="4472C4"/>
          <w:sz w:val="18"/>
          <w:szCs w:val="18"/>
        </w:rPr>
        <w:t xml:space="preserve">3. Status options </w:t>
      </w:r>
    </w:p>
    <w:sectPr w:rsidR="00822B48" w:rsidRPr="004E125B" w:rsidSect="00160CAE">
      <w:headerReference w:type="even" r:id="rId17"/>
      <w:headerReference w:type="default" r:id="rId18"/>
      <w:footerReference w:type="default" r:id="rId19"/>
      <w:headerReference w:type="first" r:id="rId2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DF44" w14:textId="77777777" w:rsidR="00AF0472" w:rsidRDefault="00AF0472" w:rsidP="007622F8">
      <w:r>
        <w:separator/>
      </w:r>
    </w:p>
  </w:endnote>
  <w:endnote w:type="continuationSeparator" w:id="0">
    <w:p w14:paraId="4803E1DE" w14:textId="77777777" w:rsidR="00AF0472" w:rsidRDefault="00AF0472" w:rsidP="007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6EAA" w14:textId="01C7C8DC" w:rsidR="00F60FCA" w:rsidRDefault="007622F8" w:rsidP="007622F8">
    <w:pPr>
      <w:pStyle w:val="Footer"/>
      <w:pBdr>
        <w:top w:val="dotted" w:sz="4" w:space="1" w:color="auto"/>
      </w:pBdr>
      <w:tabs>
        <w:tab w:val="left" w:pos="3600"/>
        <w:tab w:val="left" w:pos="8550"/>
        <w:tab w:val="right" w:pos="10170"/>
      </w:tabs>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02A2577A" w14:textId="2D7009B2" w:rsidR="007622F8" w:rsidRPr="005B0CD9" w:rsidRDefault="00F60FCA" w:rsidP="007622F8">
    <w:pPr>
      <w:pStyle w:val="Footer"/>
      <w:pBdr>
        <w:top w:val="dotted" w:sz="4" w:space="1" w:color="auto"/>
      </w:pBdr>
      <w:tabs>
        <w:tab w:val="left" w:pos="3600"/>
        <w:tab w:val="left" w:pos="8550"/>
        <w:tab w:val="right" w:pos="10170"/>
      </w:tabs>
      <w:rPr>
        <w:rFonts w:ascii="Arial" w:hAnsi="Arial" w:cs="Arial"/>
        <w:sz w:val="16"/>
        <w:szCs w:val="16"/>
      </w:rPr>
    </w:pPr>
    <w:r>
      <w:rPr>
        <w:rFonts w:ascii="Arial" w:hAnsi="Arial" w:cs="Arial"/>
        <w:sz w:val="16"/>
        <w:szCs w:val="16"/>
      </w:rPr>
      <w:t xml:space="preserve">2022 </w:t>
    </w:r>
    <w:r w:rsidR="007622F8" w:rsidRPr="009A2780">
      <w:rPr>
        <w:rFonts w:ascii="Arial" w:hAnsi="Arial" w:cs="Arial"/>
        <w:sz w:val="16"/>
        <w:szCs w:val="16"/>
      </w:rPr>
      <w:t>TxCDBG Project</w:t>
    </w:r>
    <w:r w:rsidR="007622F8">
      <w:rPr>
        <w:rFonts w:ascii="Arial" w:hAnsi="Arial" w:cs="Arial"/>
        <w:sz w:val="16"/>
        <w:szCs w:val="16"/>
      </w:rPr>
      <w:t xml:space="preserve"> Implementation Manual</w:t>
    </w:r>
    <w:r w:rsidR="007622F8">
      <w:rPr>
        <w:rFonts w:ascii="Arial" w:hAnsi="Arial" w:cs="Arial"/>
        <w:sz w:val="16"/>
        <w:szCs w:val="16"/>
      </w:rPr>
      <w:tab/>
    </w:r>
    <w:r>
      <w:rPr>
        <w:rFonts w:ascii="Arial" w:hAnsi="Arial" w:cs="Arial"/>
        <w:sz w:val="16"/>
        <w:szCs w:val="16"/>
      </w:rPr>
      <w:tab/>
    </w:r>
    <w:r w:rsidR="007622F8">
      <w:rPr>
        <w:rFonts w:ascii="Arial" w:hAnsi="Arial" w:cs="Arial"/>
        <w:sz w:val="16"/>
        <w:szCs w:val="16"/>
      </w:rPr>
      <w:t xml:space="preserve">Introduction   </w:t>
    </w:r>
    <w:r w:rsidR="00783AA1">
      <w:rPr>
        <w:rFonts w:ascii="Arial" w:hAnsi="Arial" w:cs="Arial"/>
        <w:color w:val="000000" w:themeColor="text1"/>
        <w:sz w:val="16"/>
        <w:szCs w:val="16"/>
      </w:rPr>
      <w:t xml:space="preserve">                          </w:t>
    </w:r>
    <w:r>
      <w:rPr>
        <w:rFonts w:ascii="Arial" w:hAnsi="Arial" w:cs="Arial"/>
        <w:color w:val="000000" w:themeColor="text1"/>
        <w:sz w:val="16"/>
        <w:szCs w:val="16"/>
      </w:rPr>
      <w:t>3.10.2022</w:t>
    </w:r>
    <w:r>
      <w:rPr>
        <w:rFonts w:ascii="Arial" w:hAnsi="Arial" w:cs="Arial"/>
        <w:color w:val="8496B0" w:themeColor="text2" w:themeTint="99"/>
        <w:sz w:val="16"/>
        <w:szCs w:val="16"/>
      </w:rPr>
      <w:tab/>
    </w:r>
    <w:r w:rsidR="00783AA1">
      <w:rPr>
        <w:rFonts w:ascii="Arial" w:hAnsi="Arial" w:cs="Arial"/>
        <w:color w:val="8496B0" w:themeColor="text2" w:themeTint="99"/>
        <w:sz w:val="16"/>
        <w:szCs w:val="16"/>
      </w:rPr>
      <w:t xml:space="preserve">      </w:t>
    </w:r>
    <w:r w:rsidR="007622F8" w:rsidRPr="009A2780">
      <w:rPr>
        <w:rStyle w:val="PageNumber"/>
        <w:rFonts w:ascii="Arial" w:hAnsi="Arial" w:cs="Arial"/>
        <w:sz w:val="16"/>
        <w:szCs w:val="16"/>
      </w:rPr>
      <w:fldChar w:fldCharType="begin"/>
    </w:r>
    <w:r w:rsidR="007622F8" w:rsidRPr="009A2780">
      <w:rPr>
        <w:rStyle w:val="PageNumber"/>
        <w:rFonts w:ascii="Arial" w:hAnsi="Arial" w:cs="Arial"/>
        <w:sz w:val="16"/>
        <w:szCs w:val="16"/>
      </w:rPr>
      <w:instrText xml:space="preserve"> PAGE </w:instrText>
    </w:r>
    <w:r w:rsidR="007622F8" w:rsidRPr="009A2780">
      <w:rPr>
        <w:rStyle w:val="PageNumber"/>
        <w:rFonts w:ascii="Arial" w:hAnsi="Arial" w:cs="Arial"/>
        <w:sz w:val="16"/>
        <w:szCs w:val="16"/>
      </w:rPr>
      <w:fldChar w:fldCharType="separate"/>
    </w:r>
    <w:r w:rsidR="007622F8">
      <w:rPr>
        <w:rStyle w:val="PageNumber"/>
        <w:rFonts w:ascii="Arial" w:hAnsi="Arial" w:cs="Arial"/>
        <w:sz w:val="16"/>
        <w:szCs w:val="16"/>
      </w:rPr>
      <w:t>1</w:t>
    </w:r>
    <w:r w:rsidR="007622F8" w:rsidRPr="009A2780">
      <w:rPr>
        <w:rStyle w:val="PageNumber"/>
        <w:rFonts w:ascii="Arial" w:hAnsi="Arial" w:cs="Arial"/>
        <w:sz w:val="16"/>
        <w:szCs w:val="16"/>
      </w:rPr>
      <w:fldChar w:fldCharType="end"/>
    </w:r>
  </w:p>
  <w:p w14:paraId="36AD2EAD" w14:textId="77777777" w:rsidR="007622F8" w:rsidRDefault="0076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51C1" w14:textId="77777777" w:rsidR="00AF0472" w:rsidRDefault="00AF0472" w:rsidP="007622F8">
      <w:r>
        <w:separator/>
      </w:r>
    </w:p>
  </w:footnote>
  <w:footnote w:type="continuationSeparator" w:id="0">
    <w:p w14:paraId="359CB4C7" w14:textId="77777777" w:rsidR="00AF0472" w:rsidRDefault="00AF0472" w:rsidP="0076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23B3" w14:textId="7CEBDD81" w:rsidR="006566BC" w:rsidRDefault="00656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3F18" w14:textId="7F9D9333" w:rsidR="006566BC" w:rsidRDefault="00656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313D" w14:textId="68FE400B" w:rsidR="006566BC" w:rsidRDefault="00656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695F"/>
    <w:multiLevelType w:val="multilevel"/>
    <w:tmpl w:val="69BA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33404"/>
    <w:multiLevelType w:val="multilevel"/>
    <w:tmpl w:val="77E64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C42976"/>
    <w:multiLevelType w:val="hybridMultilevel"/>
    <w:tmpl w:val="C944D3BE"/>
    <w:lvl w:ilvl="0" w:tplc="9B6E76FA">
      <w:start w:val="1"/>
      <w:numFmt w:val="bullet"/>
      <w:pStyle w:val="BullletbodyArial1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30"/>
    <w:rsid w:val="00025F64"/>
    <w:rsid w:val="000E4034"/>
    <w:rsid w:val="00101BD1"/>
    <w:rsid w:val="00132B71"/>
    <w:rsid w:val="00153A83"/>
    <w:rsid w:val="00160CAE"/>
    <w:rsid w:val="001A70C4"/>
    <w:rsid w:val="001F1BAE"/>
    <w:rsid w:val="00257F2B"/>
    <w:rsid w:val="002841B2"/>
    <w:rsid w:val="00367EE8"/>
    <w:rsid w:val="0039139A"/>
    <w:rsid w:val="003B0D1E"/>
    <w:rsid w:val="003E551B"/>
    <w:rsid w:val="004E125B"/>
    <w:rsid w:val="004E3E18"/>
    <w:rsid w:val="005B0D8A"/>
    <w:rsid w:val="006566BC"/>
    <w:rsid w:val="00656F99"/>
    <w:rsid w:val="00664610"/>
    <w:rsid w:val="0076146E"/>
    <w:rsid w:val="007622F8"/>
    <w:rsid w:val="00783AA1"/>
    <w:rsid w:val="007E7F2A"/>
    <w:rsid w:val="00822B48"/>
    <w:rsid w:val="00836144"/>
    <w:rsid w:val="00882ACE"/>
    <w:rsid w:val="008A7FDE"/>
    <w:rsid w:val="00A115A6"/>
    <w:rsid w:val="00A2216A"/>
    <w:rsid w:val="00A53908"/>
    <w:rsid w:val="00AF0472"/>
    <w:rsid w:val="00B654B0"/>
    <w:rsid w:val="00B96E30"/>
    <w:rsid w:val="00BB409D"/>
    <w:rsid w:val="00C11C02"/>
    <w:rsid w:val="00C27F8C"/>
    <w:rsid w:val="00CA63EA"/>
    <w:rsid w:val="00CC3E4C"/>
    <w:rsid w:val="00EE2D48"/>
    <w:rsid w:val="00F41EE8"/>
    <w:rsid w:val="00F4553E"/>
    <w:rsid w:val="00F60FCA"/>
    <w:rsid w:val="00F95FF2"/>
    <w:rsid w:val="00FB7D5E"/>
    <w:rsid w:val="00FD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07B2F"/>
  <w15:chartTrackingRefBased/>
  <w15:docId w15:val="{3F3E03CA-4866-0348-9FDD-AA443856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rial">
    <w:name w:val="BODY-Arial"/>
    <w:aliases w:val="11pt."/>
    <w:basedOn w:val="Normal"/>
    <w:autoRedefine/>
    <w:qFormat/>
    <w:rsid w:val="007E7F2A"/>
    <w:pPr>
      <w:spacing w:line="280" w:lineRule="exact"/>
      <w:jc w:val="both"/>
    </w:pPr>
    <w:rPr>
      <w:rFonts w:ascii="Arial" w:hAnsi="Arial" w:cs="Arial"/>
      <w:szCs w:val="22"/>
    </w:rPr>
  </w:style>
  <w:style w:type="paragraph" w:customStyle="1" w:styleId="1BODY-Arial11">
    <w:name w:val="1. BODY-Arial 11"/>
    <w:basedOn w:val="Normal"/>
    <w:autoRedefine/>
    <w:qFormat/>
    <w:rsid w:val="00FD5B9E"/>
    <w:pPr>
      <w:spacing w:line="280" w:lineRule="exact"/>
      <w:jc w:val="both"/>
    </w:pPr>
    <w:rPr>
      <w:rFonts w:ascii="Arial" w:hAnsi="Arial" w:cs="Arial"/>
      <w:sz w:val="22"/>
      <w:szCs w:val="22"/>
    </w:rPr>
  </w:style>
  <w:style w:type="paragraph" w:styleId="TOC1">
    <w:name w:val="toc 1"/>
    <w:basedOn w:val="Normal"/>
    <w:next w:val="Normal"/>
    <w:autoRedefine/>
    <w:uiPriority w:val="39"/>
    <w:rsid w:val="008A7FDE"/>
    <w:pPr>
      <w:spacing w:before="120"/>
    </w:pPr>
    <w:rPr>
      <w:rFonts w:ascii="Arial" w:hAnsi="Arial" w:cstheme="minorHAnsi"/>
      <w:bCs/>
      <w:iCs/>
    </w:rPr>
  </w:style>
  <w:style w:type="paragraph" w:styleId="NormalWeb">
    <w:name w:val="Normal (Web)"/>
    <w:basedOn w:val="Normal"/>
    <w:uiPriority w:val="99"/>
    <w:semiHidden/>
    <w:unhideWhenUsed/>
    <w:rsid w:val="00B96E30"/>
    <w:pPr>
      <w:spacing w:before="100" w:beforeAutospacing="1" w:after="100" w:afterAutospacing="1"/>
    </w:pPr>
  </w:style>
  <w:style w:type="paragraph" w:customStyle="1" w:styleId="BullletbodyArial11">
    <w:name w:val="• Bulllet body Arial 11"/>
    <w:basedOn w:val="1BODY-Arial11"/>
    <w:autoRedefine/>
    <w:qFormat/>
    <w:rsid w:val="00B96E30"/>
    <w:pPr>
      <w:numPr>
        <w:numId w:val="2"/>
      </w:numPr>
    </w:pPr>
  </w:style>
  <w:style w:type="paragraph" w:customStyle="1" w:styleId="Style1">
    <w:name w:val="Style1"/>
    <w:basedOn w:val="1BODY-Arial11"/>
    <w:qFormat/>
    <w:rsid w:val="00FD5B9E"/>
    <w:pPr>
      <w:spacing w:line="360" w:lineRule="auto"/>
    </w:pPr>
    <w:rPr>
      <w:b/>
      <w:sz w:val="52"/>
      <w:u w:val="single"/>
    </w:rPr>
  </w:style>
  <w:style w:type="character" w:styleId="Emphasis">
    <w:name w:val="Emphasis"/>
    <w:basedOn w:val="DefaultParagraphFont"/>
    <w:uiPriority w:val="20"/>
    <w:qFormat/>
    <w:rsid w:val="00132B71"/>
    <w:rPr>
      <w:i/>
      <w:iCs/>
    </w:rPr>
  </w:style>
  <w:style w:type="character" w:styleId="Strong">
    <w:name w:val="Strong"/>
    <w:basedOn w:val="DefaultParagraphFont"/>
    <w:uiPriority w:val="22"/>
    <w:qFormat/>
    <w:rsid w:val="004E3E18"/>
    <w:rPr>
      <w:b/>
      <w:bCs/>
    </w:rPr>
  </w:style>
  <w:style w:type="character" w:styleId="Hyperlink">
    <w:name w:val="Hyperlink"/>
    <w:basedOn w:val="DefaultParagraphFont"/>
    <w:uiPriority w:val="99"/>
    <w:unhideWhenUsed/>
    <w:rsid w:val="004E3E18"/>
    <w:rPr>
      <w:color w:val="0000FF"/>
      <w:u w:val="single"/>
    </w:rPr>
  </w:style>
  <w:style w:type="character" w:styleId="UnresolvedMention">
    <w:name w:val="Unresolved Mention"/>
    <w:basedOn w:val="DefaultParagraphFont"/>
    <w:uiPriority w:val="99"/>
    <w:semiHidden/>
    <w:unhideWhenUsed/>
    <w:rsid w:val="004E3E18"/>
    <w:rPr>
      <w:color w:val="605E5C"/>
      <w:shd w:val="clear" w:color="auto" w:fill="E1DFDD"/>
    </w:rPr>
  </w:style>
  <w:style w:type="character" w:styleId="FollowedHyperlink">
    <w:name w:val="FollowedHyperlink"/>
    <w:basedOn w:val="DefaultParagraphFont"/>
    <w:uiPriority w:val="99"/>
    <w:semiHidden/>
    <w:unhideWhenUsed/>
    <w:rsid w:val="00367EE8"/>
    <w:rPr>
      <w:color w:val="954F72" w:themeColor="followedHyperlink"/>
      <w:u w:val="single"/>
    </w:rPr>
  </w:style>
  <w:style w:type="paragraph" w:styleId="Header">
    <w:name w:val="header"/>
    <w:basedOn w:val="Normal"/>
    <w:link w:val="HeaderChar"/>
    <w:uiPriority w:val="99"/>
    <w:unhideWhenUsed/>
    <w:rsid w:val="007622F8"/>
    <w:pPr>
      <w:tabs>
        <w:tab w:val="center" w:pos="4680"/>
        <w:tab w:val="right" w:pos="9360"/>
      </w:tabs>
    </w:pPr>
  </w:style>
  <w:style w:type="character" w:customStyle="1" w:styleId="HeaderChar">
    <w:name w:val="Header Char"/>
    <w:basedOn w:val="DefaultParagraphFont"/>
    <w:link w:val="Header"/>
    <w:uiPriority w:val="99"/>
    <w:rsid w:val="007622F8"/>
    <w:rPr>
      <w:rFonts w:ascii="Times New Roman" w:eastAsia="Times New Roman" w:hAnsi="Times New Roman" w:cs="Times New Roman"/>
    </w:rPr>
  </w:style>
  <w:style w:type="paragraph" w:styleId="Footer">
    <w:name w:val="footer"/>
    <w:basedOn w:val="Normal"/>
    <w:link w:val="FooterChar"/>
    <w:uiPriority w:val="99"/>
    <w:unhideWhenUsed/>
    <w:rsid w:val="007622F8"/>
    <w:pPr>
      <w:tabs>
        <w:tab w:val="center" w:pos="4680"/>
        <w:tab w:val="right" w:pos="9360"/>
      </w:tabs>
    </w:pPr>
  </w:style>
  <w:style w:type="character" w:customStyle="1" w:styleId="FooterChar">
    <w:name w:val="Footer Char"/>
    <w:basedOn w:val="DefaultParagraphFont"/>
    <w:link w:val="Footer"/>
    <w:uiPriority w:val="99"/>
    <w:rsid w:val="007622F8"/>
    <w:rPr>
      <w:rFonts w:ascii="Times New Roman" w:eastAsia="Times New Roman" w:hAnsi="Times New Roman" w:cs="Times New Roman"/>
    </w:rPr>
  </w:style>
  <w:style w:type="character" w:styleId="PageNumber">
    <w:name w:val="page number"/>
    <w:basedOn w:val="DefaultParagraphFont"/>
    <w:rsid w:val="0076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3867">
      <w:bodyDiv w:val="1"/>
      <w:marLeft w:val="0"/>
      <w:marRight w:val="0"/>
      <w:marTop w:val="0"/>
      <w:marBottom w:val="0"/>
      <w:divBdr>
        <w:top w:val="none" w:sz="0" w:space="0" w:color="auto"/>
        <w:left w:val="none" w:sz="0" w:space="0" w:color="auto"/>
        <w:bottom w:val="none" w:sz="0" w:space="0" w:color="auto"/>
        <w:right w:val="none" w:sz="0" w:space="0" w:color="auto"/>
      </w:divBdr>
      <w:divsChild>
        <w:div w:id="661735686">
          <w:marLeft w:val="0"/>
          <w:marRight w:val="0"/>
          <w:marTop w:val="0"/>
          <w:marBottom w:val="0"/>
          <w:divBdr>
            <w:top w:val="none" w:sz="0" w:space="0" w:color="auto"/>
            <w:left w:val="none" w:sz="0" w:space="0" w:color="auto"/>
            <w:bottom w:val="none" w:sz="0" w:space="0" w:color="auto"/>
            <w:right w:val="none" w:sz="0" w:space="0" w:color="auto"/>
          </w:divBdr>
        </w:div>
      </w:divsChild>
    </w:div>
    <w:div w:id="1413088332">
      <w:bodyDiv w:val="1"/>
      <w:marLeft w:val="0"/>
      <w:marRight w:val="0"/>
      <w:marTop w:val="0"/>
      <w:marBottom w:val="0"/>
      <w:divBdr>
        <w:top w:val="none" w:sz="0" w:space="0" w:color="auto"/>
        <w:left w:val="none" w:sz="0" w:space="0" w:color="auto"/>
        <w:bottom w:val="none" w:sz="0" w:space="0" w:color="auto"/>
        <w:right w:val="none" w:sz="0" w:space="0" w:color="auto"/>
      </w:divBdr>
    </w:div>
    <w:div w:id="1472480084">
      <w:bodyDiv w:val="1"/>
      <w:marLeft w:val="0"/>
      <w:marRight w:val="0"/>
      <w:marTop w:val="0"/>
      <w:marBottom w:val="0"/>
      <w:divBdr>
        <w:top w:val="none" w:sz="0" w:space="0" w:color="auto"/>
        <w:left w:val="none" w:sz="0" w:space="0" w:color="auto"/>
        <w:bottom w:val="none" w:sz="0" w:space="0" w:color="auto"/>
        <w:right w:val="none" w:sz="0" w:space="0" w:color="auto"/>
      </w:divBdr>
    </w:div>
    <w:div w:id="1887839266">
      <w:bodyDiv w:val="1"/>
      <w:marLeft w:val="0"/>
      <w:marRight w:val="0"/>
      <w:marTop w:val="0"/>
      <w:marBottom w:val="0"/>
      <w:divBdr>
        <w:top w:val="none" w:sz="0" w:space="0" w:color="auto"/>
        <w:left w:val="none" w:sz="0" w:space="0" w:color="auto"/>
        <w:bottom w:val="none" w:sz="0" w:space="0" w:color="auto"/>
        <w:right w:val="none" w:sz="0" w:space="0" w:color="auto"/>
      </w:divBdr>
    </w:div>
    <w:div w:id="1911576444">
      <w:bodyDiv w:val="1"/>
      <w:marLeft w:val="0"/>
      <w:marRight w:val="0"/>
      <w:marTop w:val="0"/>
      <w:marBottom w:val="0"/>
      <w:divBdr>
        <w:top w:val="none" w:sz="0" w:space="0" w:color="auto"/>
        <w:left w:val="none" w:sz="0" w:space="0" w:color="auto"/>
        <w:bottom w:val="none" w:sz="0" w:space="0" w:color="auto"/>
        <w:right w:val="none" w:sz="0" w:space="0" w:color="auto"/>
      </w:divBdr>
      <w:divsChild>
        <w:div w:id="767312960">
          <w:marLeft w:val="0"/>
          <w:marRight w:val="0"/>
          <w:marTop w:val="0"/>
          <w:marBottom w:val="0"/>
          <w:divBdr>
            <w:top w:val="none" w:sz="0" w:space="0" w:color="auto"/>
            <w:left w:val="none" w:sz="0" w:space="0" w:color="auto"/>
            <w:bottom w:val="none" w:sz="0" w:space="0" w:color="auto"/>
            <w:right w:val="none" w:sz="0" w:space="0" w:color="auto"/>
          </w:divBdr>
          <w:divsChild>
            <w:div w:id="585921939">
              <w:marLeft w:val="0"/>
              <w:marRight w:val="0"/>
              <w:marTop w:val="0"/>
              <w:marBottom w:val="0"/>
              <w:divBdr>
                <w:top w:val="none" w:sz="0" w:space="0" w:color="auto"/>
                <w:left w:val="none" w:sz="0" w:space="0" w:color="auto"/>
                <w:bottom w:val="none" w:sz="0" w:space="0" w:color="auto"/>
                <w:right w:val="none" w:sz="0" w:space="0" w:color="auto"/>
              </w:divBdr>
              <w:divsChild>
                <w:div w:id="13704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579">
      <w:bodyDiv w:val="1"/>
      <w:marLeft w:val="0"/>
      <w:marRight w:val="0"/>
      <w:marTop w:val="0"/>
      <w:marBottom w:val="0"/>
      <w:divBdr>
        <w:top w:val="none" w:sz="0" w:space="0" w:color="auto"/>
        <w:left w:val="none" w:sz="0" w:space="0" w:color="auto"/>
        <w:bottom w:val="none" w:sz="0" w:space="0" w:color="auto"/>
        <w:right w:val="none" w:sz="0" w:space="0" w:color="auto"/>
      </w:divBdr>
    </w:div>
    <w:div w:id="20405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exasagriculture.gov/GrantsServices/RuralEconomicDevelopment/RuralCommunityDevelopmentBlockGrant(CDBG).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da-go.intelligrants.co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FD70569911AA43A6BFF25E32FDADE6" ma:contentTypeVersion="4" ma:contentTypeDescription="Create a new document." ma:contentTypeScope="" ma:versionID="a3fea5c22dc4dfd45d2a022dacf54164">
  <xsd:schema xmlns:xsd="http://www.w3.org/2001/XMLSchema" xmlns:xs="http://www.w3.org/2001/XMLSchema" xmlns:p="http://schemas.microsoft.com/office/2006/metadata/properties" xmlns:ns2="8a457650-a1b7-4a6d-8991-d567f91c4f97" targetNamespace="http://schemas.microsoft.com/office/2006/metadata/properties" ma:root="true" ma:fieldsID="1395c3e878a66329b9c4890e1febd944" ns2:_="">
    <xsd:import namespace="8a457650-a1b7-4a6d-8991-d567f91c4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57650-a1b7-4a6d-8991-d567f91c4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F200A-6B77-477E-AFB9-973B4DEE2A8D}">
  <ds:schemaRefs>
    <ds:schemaRef ds:uri="http://schemas.openxmlformats.org/officeDocument/2006/bibliography"/>
  </ds:schemaRefs>
</ds:datastoreItem>
</file>

<file path=customXml/itemProps2.xml><?xml version="1.0" encoding="utf-8"?>
<ds:datastoreItem xmlns:ds="http://schemas.openxmlformats.org/officeDocument/2006/customXml" ds:itemID="{9184F03D-5EC4-4BA2-BB57-AC074B1D2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57650-a1b7-4a6d-8991-d567f91c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5DD9B-8138-480F-956E-D8CC349DCDD5}">
  <ds:schemaRefs>
    <ds:schemaRef ds:uri="http://schemas.microsoft.com/sharepoint/v3/contenttype/forms"/>
  </ds:schemaRefs>
</ds:datastoreItem>
</file>

<file path=customXml/itemProps4.xml><?xml version="1.0" encoding="utf-8"?>
<ds:datastoreItem xmlns:ds="http://schemas.openxmlformats.org/officeDocument/2006/customXml" ds:itemID="{6437AAEA-EC8E-4909-8E2B-96D12EA861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Craig</dc:creator>
  <cp:keywords/>
  <dc:description/>
  <cp:lastModifiedBy>Suzanne Barnard</cp:lastModifiedBy>
  <cp:revision>4</cp:revision>
  <dcterms:created xsi:type="dcterms:W3CDTF">2021-12-14T20:58:00Z</dcterms:created>
  <dcterms:modified xsi:type="dcterms:W3CDTF">2022-03-10T06:56:00Z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0x0101000EFD70569911AA43A6BFF25E32FDADE6</vt:lpwstr>
  </property>
</Properties>
</file>