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D34" w:rsidRPr="00DF2524" w:rsidRDefault="00CD1D34" w:rsidP="00CD1D34">
      <w:pPr>
        <w:pStyle w:val="BodyText"/>
        <w:jc w:val="center"/>
        <w:rPr>
          <w:b/>
        </w:rPr>
      </w:pPr>
      <w:r w:rsidRPr="00DF2524">
        <w:rPr>
          <w:b/>
        </w:rPr>
        <w:t>Summary of Major Lead-Based Paint Regulations</w:t>
      </w:r>
    </w:p>
    <w:p w:rsidR="00CD1D34" w:rsidRPr="00DF2524" w:rsidRDefault="00CD1D34" w:rsidP="00CD1D34">
      <w:pPr>
        <w:pStyle w:val="BodyText"/>
        <w:jc w:val="center"/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880"/>
        <w:gridCol w:w="3294"/>
      </w:tblGrid>
      <w:tr w:rsidR="00CD1D34" w:rsidRPr="00DF2524" w:rsidTr="00802C4B">
        <w:trPr>
          <w:cantSplit/>
          <w:tblHeader/>
          <w:jc w:val="center"/>
        </w:trPr>
        <w:tc>
          <w:tcPr>
            <w:tcW w:w="360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auto" w:fill="auto"/>
          </w:tcPr>
          <w:p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&lt; $5000/unit</w:t>
            </w:r>
          </w:p>
        </w:tc>
        <w:tc>
          <w:tcPr>
            <w:tcW w:w="2880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FFFFFF"/>
            </w:tcBorders>
            <w:shd w:val="solid" w:color="auto" w:fill="auto"/>
          </w:tcPr>
          <w:p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$5000 - $25,000/unit</w:t>
            </w:r>
          </w:p>
        </w:tc>
        <w:tc>
          <w:tcPr>
            <w:tcW w:w="3294" w:type="dxa"/>
            <w:tcBorders>
              <w:top w:val="single" w:sz="6" w:space="0" w:color="FFFFFF"/>
              <w:left w:val="single" w:sz="6" w:space="0" w:color="FFFFFF"/>
              <w:bottom w:val="nil"/>
              <w:right w:val="single" w:sz="6" w:space="0" w:color="000000"/>
            </w:tcBorders>
            <w:shd w:val="solid" w:color="auto" w:fill="auto"/>
          </w:tcPr>
          <w:p w:rsidR="00CD1D34" w:rsidRPr="00DF2524" w:rsidRDefault="00CD1D34" w:rsidP="00802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&gt; $25,000/unit</w:t>
            </w:r>
          </w:p>
        </w:tc>
      </w:tr>
      <w:tr w:rsidR="00CD1D34" w:rsidRPr="00DF2524" w:rsidTr="00802C4B">
        <w:trPr>
          <w:cantSplit/>
          <w:trHeight w:val="1008"/>
          <w:jc w:val="center"/>
        </w:trPr>
        <w:tc>
          <w:tcPr>
            <w:tcW w:w="9774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Applicability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 CFR Part 35, Subpart J contains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lead-based paint requirements specifically for Federally funded rehabilitation work. These requirements apply to HUD programs that provide assistance for rehabilitation, including CPD-funded rehabilitation activities. 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The lead-based paint requirements for rehabilitation work, as described in this part of the regulation, are the same regardless of the source of program funding, </w:t>
            </w:r>
            <w:r w:rsidRPr="00DF2524">
              <w:rPr>
                <w:rFonts w:ascii="Arial" w:hAnsi="Arial" w:cs="Arial"/>
                <w:i/>
                <w:sz w:val="18"/>
                <w:szCs w:val="18"/>
              </w:rPr>
              <w:t>but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they differ based on the level of funding to a property. </w:t>
            </w:r>
          </w:p>
        </w:tc>
      </w:tr>
      <w:tr w:rsidR="00CD1D34" w:rsidRPr="00DF2524" w:rsidTr="00802C4B">
        <w:trPr>
          <w:cantSplit/>
          <w:trHeight w:val="993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Notification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Occupants, owner occupants, and purchasers of assisted properties must receive notification of the potential presence and hazards of lead-based paint. Notification is achieved through the distribution of the EPA/HUD/CPSC lead-based paint hazard information pamphlet.  Occupants must also receive written notice informing them of lead hazard evaluation or reduction activities. </w:t>
            </w:r>
          </w:p>
        </w:tc>
      </w:tr>
      <w:tr w:rsidR="00CD1D34" w:rsidRPr="00DF2524" w:rsidTr="00802C4B">
        <w:trPr>
          <w:cantSplit/>
          <w:trHeight w:val="1176"/>
          <w:jc w:val="center"/>
        </w:trPr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Paint Testing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Painted surfaces that will be disturbed during rehabilitation must be tested for lead-based paint, unless a surface is assumed to contain lead-based paint.</w:t>
            </w:r>
          </w:p>
        </w:tc>
        <w:tc>
          <w:tcPr>
            <w:tcW w:w="61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Paint Testing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– Test surfaces that will be disturbed by the rehabilitation for lead-based paint. For surfaces assumed to contain lead-based paint, testing is not required. 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Risk Assessment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– An assessment of a dwelling to check for the presence of lead-based paint hazards. It includes a visual assessment of dust, soil, and paint and a written report of the results.</w:t>
            </w:r>
          </w:p>
        </w:tc>
      </w:tr>
      <w:tr w:rsidR="00CD1D34" w:rsidRPr="00DF2524" w:rsidTr="00802C4B">
        <w:trPr>
          <w:cantSplit/>
          <w:trHeight w:val="1608"/>
          <w:jc w:val="center"/>
        </w:trPr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The grantee may assume that lead-based paint and lead hazards are present, forego the paint testing and risk assessment, and conduct standard treatments.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 xml:space="preserve">Option 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The grantee may assume that lead-based paint and lead hazards are present, forego paint testing and risk assessment, and abate all painted surfaces disturbed during rehabilitation that are presumed to have lead-based paint and all presumed hazards.</w:t>
            </w:r>
          </w:p>
        </w:tc>
      </w:tr>
      <w:tr w:rsidR="00CD1D34" w:rsidRPr="00DF2524" w:rsidTr="00802C4B">
        <w:trPr>
          <w:cantSplit/>
          <w:trHeight w:val="1785"/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Paint Repair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Repair surfaces that are disturbed by rehabilitation in a safe manner.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Lead Hazard Reduction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Any lead-based paint hazards found during the risk assessment must be controlled using </w:t>
            </w: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interim controls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or abatement methods.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Standard treatments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must be performed when no evaluation is conducted and the presence of lead-based paint hazards is assumed. 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pacing w:val="-2"/>
                <w:sz w:val="18"/>
                <w:szCs w:val="18"/>
              </w:rPr>
              <w:t>Abatement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Any lead-based paint hazards found in units and common areas must be controlled using </w:t>
            </w:r>
            <w:r w:rsidRPr="00DF2524">
              <w:rPr>
                <w:rFonts w:ascii="Arial" w:hAnsi="Arial" w:cs="Arial"/>
                <w:i/>
                <w:spacing w:val="-2"/>
                <w:sz w:val="18"/>
                <w:szCs w:val="18"/>
              </w:rPr>
              <w:t>abatement</w:t>
            </w: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 xml:space="preserve"> methods.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F2524">
              <w:rPr>
                <w:rFonts w:ascii="Arial" w:hAnsi="Arial" w:cs="Arial"/>
                <w:spacing w:val="-2"/>
                <w:sz w:val="18"/>
                <w:szCs w:val="18"/>
              </w:rPr>
              <w:t>Lead-based paint hazards on exterior surfaces that are not disturbed during rehabilitation must be controlled using either interim controls or abatement.</w:t>
            </w:r>
          </w:p>
        </w:tc>
      </w:tr>
      <w:tr w:rsidR="00CD1D34" w:rsidRPr="00DF2524" w:rsidTr="00802C4B">
        <w:trPr>
          <w:cantSplit/>
          <w:trHeight w:val="879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Safe Work Practices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Rehabilitation work that disturbs surfaces known or assumed to contain lead-based paint must be performed using safe work practices. Safe work practices are not required for work that disturbs surfaces below de </w:t>
            </w:r>
            <w:proofErr w:type="spellStart"/>
            <w:r w:rsidRPr="00DF2524">
              <w:rPr>
                <w:rFonts w:ascii="Arial" w:hAnsi="Arial" w:cs="Arial"/>
                <w:sz w:val="18"/>
                <w:szCs w:val="18"/>
              </w:rPr>
              <w:t>minimis</w:t>
            </w:r>
            <w:proofErr w:type="spellEnd"/>
            <w:r w:rsidRPr="00DF2524">
              <w:rPr>
                <w:rStyle w:val="FootnoteReference"/>
                <w:rFonts w:ascii="Arial" w:hAnsi="Arial" w:cs="Arial"/>
                <w:i/>
                <w:sz w:val="18"/>
                <w:szCs w:val="18"/>
              </w:rPr>
              <w:footnoteReference w:id="1"/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levels.  There are additional safety precautions for occupant protection, worksite preparation, and cleanup activities.</w:t>
            </w:r>
          </w:p>
        </w:tc>
      </w:tr>
      <w:tr w:rsidR="00CD1D34" w:rsidRPr="00DF2524" w:rsidTr="00802C4B">
        <w:trPr>
          <w:cantSplit/>
          <w:trHeight w:val="1020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Clearance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Once hazard reduction work is completed, a clearance examination must be performed by a certified professional to ensure that no lead-based paint hazards remain.  Clearance involves a visual assessment and dust testing after cleanup is complete.  A clearance report must be prepared. If abatement is conducted, an abatement report is required in place of a clearance report.</w:t>
            </w:r>
          </w:p>
        </w:tc>
      </w:tr>
      <w:tr w:rsidR="00CD1D34" w:rsidRPr="00DF2524" w:rsidTr="00802C4B">
        <w:trPr>
          <w:cantSplit/>
          <w:trHeight w:val="495"/>
          <w:jc w:val="center"/>
        </w:trPr>
        <w:tc>
          <w:tcPr>
            <w:tcW w:w="3600" w:type="dxa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nil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>Clearance is required only for the worksite</w:t>
            </w:r>
          </w:p>
        </w:tc>
        <w:tc>
          <w:tcPr>
            <w:tcW w:w="6174" w:type="dxa"/>
            <w:gridSpan w:val="2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Clearance is required for the unit, common areas, and exterior areas where rehabilitation took place. </w:t>
            </w:r>
          </w:p>
        </w:tc>
      </w:tr>
      <w:tr w:rsidR="00CD1D34" w:rsidRPr="00DF2524" w:rsidTr="00802C4B">
        <w:trPr>
          <w:cantSplit/>
          <w:trHeight w:val="705"/>
          <w:jc w:val="center"/>
        </w:trPr>
        <w:tc>
          <w:tcPr>
            <w:tcW w:w="97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D34" w:rsidRPr="00DF2524" w:rsidRDefault="00CD1D34" w:rsidP="00802C4B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DF2524">
              <w:rPr>
                <w:rFonts w:ascii="Arial" w:hAnsi="Arial" w:cs="Arial"/>
                <w:b/>
                <w:sz w:val="18"/>
                <w:szCs w:val="18"/>
              </w:rPr>
              <w:t>Environmental Intervention Blood Lead Level Requirements</w:t>
            </w:r>
          </w:p>
          <w:p w:rsidR="00CD1D34" w:rsidRPr="00DF2524" w:rsidRDefault="00CD1D34" w:rsidP="00802C4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DF2524">
              <w:rPr>
                <w:rFonts w:ascii="Arial" w:hAnsi="Arial" w:cs="Arial"/>
                <w:sz w:val="18"/>
                <w:szCs w:val="18"/>
              </w:rPr>
              <w:t xml:space="preserve">The regulation does </w:t>
            </w:r>
            <w:r w:rsidRPr="00DF2524">
              <w:rPr>
                <w:rFonts w:ascii="Arial" w:hAnsi="Arial" w:cs="Arial"/>
                <w:i/>
                <w:sz w:val="18"/>
                <w:szCs w:val="18"/>
              </w:rPr>
              <w:t>not</w:t>
            </w:r>
            <w:r w:rsidRPr="00DF2524">
              <w:rPr>
                <w:rFonts w:ascii="Arial" w:hAnsi="Arial" w:cs="Arial"/>
                <w:sz w:val="18"/>
                <w:szCs w:val="18"/>
              </w:rPr>
              <w:t xml:space="preserve"> require action by grantees when a child with an environmental intervention blood lead level is found to be living in a unit that has received rehabilitation assistance. </w:t>
            </w:r>
          </w:p>
        </w:tc>
      </w:tr>
    </w:tbl>
    <w:p w:rsidR="004659DA" w:rsidRDefault="00945C0B"/>
    <w:sectPr w:rsidR="004659DA" w:rsidSect="00E04F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9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7E8" w:rsidRDefault="00F017E8" w:rsidP="00CD1D34">
      <w:r>
        <w:separator/>
      </w:r>
    </w:p>
  </w:endnote>
  <w:endnote w:type="continuationSeparator" w:id="0">
    <w:p w:rsidR="00F017E8" w:rsidRDefault="00F017E8" w:rsidP="00CD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0B" w:rsidRDefault="00945C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F95" w:rsidRPr="00E04F95" w:rsidRDefault="00945C0B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09/01/2016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0B" w:rsidRDefault="00945C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7E8" w:rsidRDefault="00F017E8" w:rsidP="00CD1D34">
      <w:r>
        <w:separator/>
      </w:r>
    </w:p>
  </w:footnote>
  <w:footnote w:type="continuationSeparator" w:id="0">
    <w:p w:rsidR="00F017E8" w:rsidRDefault="00F017E8" w:rsidP="00CD1D34">
      <w:r>
        <w:continuationSeparator/>
      </w:r>
    </w:p>
  </w:footnote>
  <w:footnote w:id="1">
    <w:p w:rsidR="00CD1D34" w:rsidRPr="00EC1756" w:rsidRDefault="00CD1D34" w:rsidP="00CD1D34">
      <w:pPr>
        <w:pStyle w:val="FootnoteText"/>
        <w:ind w:left="180" w:hanging="180"/>
        <w:rPr>
          <w:i w:val="0"/>
          <w:sz w:val="14"/>
          <w:szCs w:val="14"/>
        </w:rPr>
      </w:pPr>
      <w:r w:rsidRPr="00EC1756">
        <w:rPr>
          <w:rStyle w:val="FootnoteReference"/>
          <w:i w:val="0"/>
          <w:sz w:val="14"/>
          <w:szCs w:val="14"/>
        </w:rPr>
        <w:footnoteRef/>
      </w:r>
      <w:r w:rsidRPr="00EC1756">
        <w:rPr>
          <w:i w:val="0"/>
          <w:sz w:val="14"/>
          <w:szCs w:val="14"/>
        </w:rPr>
        <w:t xml:space="preserve"> </w:t>
      </w:r>
      <w:r w:rsidRPr="00EC1756">
        <w:rPr>
          <w:i w:val="0"/>
          <w:sz w:val="14"/>
          <w:szCs w:val="14"/>
        </w:rPr>
        <w:tab/>
        <w:t>Less than 20 ft</w:t>
      </w:r>
      <w:r w:rsidRPr="00EC1756">
        <w:rPr>
          <w:i w:val="0"/>
          <w:sz w:val="14"/>
          <w:szCs w:val="14"/>
          <w:vertAlign w:val="superscript"/>
        </w:rPr>
        <w:t>2</w:t>
      </w:r>
      <w:r w:rsidRPr="00EC1756">
        <w:rPr>
          <w:i w:val="0"/>
          <w:sz w:val="14"/>
          <w:szCs w:val="14"/>
        </w:rPr>
        <w:t xml:space="preserve"> on exterior surfaces; 2 ft</w:t>
      </w:r>
      <w:r w:rsidRPr="00EC1756">
        <w:rPr>
          <w:i w:val="0"/>
          <w:sz w:val="14"/>
          <w:szCs w:val="14"/>
          <w:vertAlign w:val="superscript"/>
        </w:rPr>
        <w:t>2</w:t>
      </w:r>
      <w:r w:rsidRPr="00EC1756">
        <w:rPr>
          <w:i w:val="0"/>
          <w:sz w:val="14"/>
          <w:szCs w:val="14"/>
        </w:rPr>
        <w:t xml:space="preserve"> in any one interior room or space, or 10% of the total surface area on any interior or exterior type of component with a small surface area like window sills, baseboards or trim.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0B" w:rsidRDefault="00945C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D34" w:rsidRPr="00DF2524" w:rsidRDefault="00CD1D34" w:rsidP="00CD1D34">
    <w:pPr>
      <w:pStyle w:val="BodyText2"/>
      <w:jc w:val="right"/>
    </w:pPr>
    <w:r w:rsidRPr="00DF2524">
      <w:rPr>
        <w:rFonts w:ascii="Arial" w:hAnsi="Arial" w:cs="Arial"/>
        <w:sz w:val="40"/>
        <w:szCs w:val="40"/>
        <w:bdr w:val="single" w:sz="4" w:space="0" w:color="auto"/>
      </w:rPr>
      <w:t>C</w:t>
    </w:r>
    <w:r>
      <w:rPr>
        <w:rFonts w:ascii="Arial" w:hAnsi="Arial" w:cs="Arial"/>
        <w:sz w:val="40"/>
        <w:szCs w:val="40"/>
        <w:bdr w:val="single" w:sz="4" w:space="0" w:color="auto"/>
      </w:rPr>
      <w:t>7</w:t>
    </w:r>
  </w:p>
  <w:p w:rsidR="00CD1D34" w:rsidRDefault="00CD1D3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C0B" w:rsidRDefault="00945C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D34"/>
    <w:rsid w:val="0028613F"/>
    <w:rsid w:val="005563EE"/>
    <w:rsid w:val="00637E58"/>
    <w:rsid w:val="007763FC"/>
    <w:rsid w:val="007E01B4"/>
    <w:rsid w:val="00945C0B"/>
    <w:rsid w:val="00CD1D34"/>
    <w:rsid w:val="00E04F95"/>
    <w:rsid w:val="00F0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D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1D34"/>
    <w:pPr>
      <w:spacing w:after="120"/>
    </w:pPr>
    <w:rPr>
      <w:rFonts w:ascii="Arial" w:hAnsi="Arial"/>
      <w:i/>
      <w:iCs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D34"/>
    <w:rPr>
      <w:rFonts w:ascii="Arial" w:eastAsia="Times New Roman" w:hAnsi="Arial" w:cs="Times New Roman"/>
      <w:i/>
      <w:iCs/>
      <w:sz w:val="18"/>
      <w:szCs w:val="20"/>
    </w:rPr>
  </w:style>
  <w:style w:type="paragraph" w:styleId="BodyText">
    <w:name w:val="Body Text"/>
    <w:basedOn w:val="Normal"/>
    <w:link w:val="BodyTextChar"/>
    <w:rsid w:val="00CD1D34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1D34"/>
    <w:rPr>
      <w:rFonts w:ascii="Arial" w:eastAsia="Times New Roman" w:hAnsi="Arial" w:cs="Arial"/>
      <w:sz w:val="28"/>
      <w:szCs w:val="28"/>
    </w:rPr>
  </w:style>
  <w:style w:type="paragraph" w:styleId="BodyText2">
    <w:name w:val="Body Text 2"/>
    <w:basedOn w:val="Normal"/>
    <w:link w:val="BodyText2Char"/>
    <w:rsid w:val="00CD1D34"/>
    <w:pPr>
      <w:jc w:val="center"/>
    </w:pPr>
    <w:rPr>
      <w:b/>
      <w:sz w:val="34"/>
    </w:rPr>
  </w:style>
  <w:style w:type="character" w:customStyle="1" w:styleId="BodyText2Char">
    <w:name w:val="Body Text 2 Char"/>
    <w:basedOn w:val="DefaultParagraphFont"/>
    <w:link w:val="BodyText2"/>
    <w:rsid w:val="00CD1D34"/>
    <w:rPr>
      <w:rFonts w:ascii="Times New Roman" w:eastAsia="Times New Roman" w:hAnsi="Times New Roman" w:cs="Times New Roman"/>
      <w:b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CD1D34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CD1D34"/>
    <w:pPr>
      <w:spacing w:after="120"/>
    </w:pPr>
    <w:rPr>
      <w:rFonts w:ascii="Arial" w:hAnsi="Arial"/>
      <w:i/>
      <w:iCs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D1D34"/>
    <w:rPr>
      <w:rFonts w:ascii="Arial" w:eastAsia="Times New Roman" w:hAnsi="Arial" w:cs="Times New Roman"/>
      <w:i/>
      <w:iCs/>
      <w:sz w:val="18"/>
      <w:szCs w:val="20"/>
    </w:rPr>
  </w:style>
  <w:style w:type="paragraph" w:styleId="BodyText">
    <w:name w:val="Body Text"/>
    <w:basedOn w:val="Normal"/>
    <w:link w:val="BodyTextChar"/>
    <w:rsid w:val="00CD1D34"/>
    <w:rPr>
      <w:rFonts w:ascii="Arial" w:hAnsi="Arial" w:cs="Arial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CD1D34"/>
    <w:rPr>
      <w:rFonts w:ascii="Arial" w:eastAsia="Times New Roman" w:hAnsi="Arial" w:cs="Arial"/>
      <w:sz w:val="28"/>
      <w:szCs w:val="28"/>
    </w:rPr>
  </w:style>
  <w:style w:type="paragraph" w:styleId="BodyText2">
    <w:name w:val="Body Text 2"/>
    <w:basedOn w:val="Normal"/>
    <w:link w:val="BodyText2Char"/>
    <w:rsid w:val="00CD1D34"/>
    <w:pPr>
      <w:jc w:val="center"/>
    </w:pPr>
    <w:rPr>
      <w:b/>
      <w:sz w:val="34"/>
    </w:rPr>
  </w:style>
  <w:style w:type="character" w:customStyle="1" w:styleId="BodyText2Char">
    <w:name w:val="Body Text 2 Char"/>
    <w:basedOn w:val="DefaultParagraphFont"/>
    <w:link w:val="BodyText2"/>
    <w:rsid w:val="00CD1D34"/>
    <w:rPr>
      <w:rFonts w:ascii="Times New Roman" w:eastAsia="Times New Roman" w:hAnsi="Times New Roman" w:cs="Times New Roman"/>
      <w:b/>
      <w:sz w:val="34"/>
      <w:szCs w:val="24"/>
    </w:rPr>
  </w:style>
  <w:style w:type="paragraph" w:styleId="Header">
    <w:name w:val="header"/>
    <w:basedOn w:val="Normal"/>
    <w:link w:val="Head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1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1D3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1.xml"/>
  <Relationship Id="rId11" Type="http://schemas.openxmlformats.org/officeDocument/2006/relationships/footer" Target="footer2.xml"/>
  <Relationship Id="rId12" Type="http://schemas.openxmlformats.org/officeDocument/2006/relationships/header" Target="header3.xml"/>
  <Relationship Id="rId13" Type="http://schemas.openxmlformats.org/officeDocument/2006/relationships/footer" Target="footer3.xml"/>
  <Relationship Id="rId14" Type="http://schemas.openxmlformats.org/officeDocument/2006/relationships/fontTable" Target="fontTable.xml"/>
  <Relationship Id="rId15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header" Target="header1.xml"/>
  <Relationship Id="rId9" Type="http://schemas.openxmlformats.org/officeDocument/2006/relationships/header" Target="header2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1393-2827-4A11-A11B-118C2A1FC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555</Words>
  <Characters>3166</Characters>
  <Application/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