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005" w:type="pct"/>
        <w:tblCellSpacing w:w="0" w:type="dxa"/>
        <w:shd w:val="clear" w:color="auto" w:fill="FFFFFF"/>
        <w:tblCellMar>
          <w:left w:w="0" w:type="dxa"/>
          <w:right w:w="0" w:type="dxa"/>
        </w:tblCellMar>
        <w:tblLook w:val="04A0" w:firstRow="1" w:lastRow="0" w:firstColumn="1" w:lastColumn="0" w:noHBand="0" w:noVBand="1"/>
      </w:tblPr>
      <w:tblGrid>
        <w:gridCol w:w="7497"/>
      </w:tblGrid>
      <w:tr w:rsidR="004005F2" w:rsidRPr="004005F2" w14:paraId="2CA6683F" w14:textId="77777777" w:rsidTr="004005F2">
        <w:trPr>
          <w:tblCellSpacing w:w="0" w:type="dxa"/>
        </w:trPr>
        <w:tc>
          <w:tcPr>
            <w:tcW w:w="7498" w:type="dxa"/>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7497"/>
            </w:tblGrid>
            <w:tr w:rsidR="004005F2" w:rsidRPr="004005F2" w14:paraId="0767EF0F" w14:textId="77777777">
              <w:trPr>
                <w:tblCellSpacing w:w="0" w:type="dxa"/>
              </w:trPr>
              <w:tc>
                <w:tcPr>
                  <w:tcW w:w="10080"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7497"/>
                  </w:tblGrid>
                  <w:tr w:rsidR="004005F2" w:rsidRPr="004005F2" w14:paraId="15CA8C43" w14:textId="77777777" w:rsidTr="004005F2">
                    <w:trPr>
                      <w:tblCellSpacing w:w="0" w:type="dxa"/>
                    </w:trPr>
                    <w:tc>
                      <w:tcPr>
                        <w:tcW w:w="0" w:type="auto"/>
                        <w:vAlign w:val="center"/>
                        <w:hideMark/>
                      </w:tcPr>
                      <w:p w14:paraId="1DF687F5" w14:textId="7AADB3DB" w:rsidR="004005F2" w:rsidRPr="004005F2" w:rsidRDefault="00315ED1" w:rsidP="004005F2">
                        <w:r w:rsidRPr="00315ED1">
                          <w:t>Livestock Facilities</w:t>
                        </w:r>
                        <w:r>
                          <w:t xml:space="preserve"> </w:t>
                        </w:r>
                        <w:r w:rsidR="004005F2" w:rsidRPr="004005F2">
                          <w:t>Operating</w:t>
                        </w:r>
                        <w:r w:rsidR="004005F2">
                          <w:t xml:space="preserve"> Policies and Procedures</w:t>
                        </w:r>
                      </w:p>
                    </w:tc>
                  </w:tr>
                  <w:tr w:rsidR="004005F2" w:rsidRPr="004005F2" w14:paraId="5EDFA617" w14:textId="77777777" w:rsidTr="004005F2">
                    <w:trPr>
                      <w:tblCellSpacing w:w="0" w:type="dxa"/>
                    </w:trPr>
                    <w:tc>
                      <w:tcPr>
                        <w:tcW w:w="0" w:type="auto"/>
                        <w:hideMark/>
                      </w:tcPr>
                      <w:p w14:paraId="2A428F06" w14:textId="77777777" w:rsidR="00EC032D" w:rsidRDefault="00EC032D" w:rsidP="004005F2">
                        <w:pPr>
                          <w:pStyle w:val="ListParagraph"/>
                          <w:numPr>
                            <w:ilvl w:val="0"/>
                            <w:numId w:val="3"/>
                          </w:numPr>
                        </w:pPr>
                        <w:r w:rsidRPr="004005F2">
                          <w:t>All livestock shipments must have a reservation number. Livestock will not be unloaded without a reservation</w:t>
                        </w:r>
                        <w:r>
                          <w:t>.</w:t>
                        </w:r>
                      </w:p>
                      <w:p w14:paraId="67B1B617" w14:textId="77777777" w:rsidR="00EC032D" w:rsidRDefault="00E85A01" w:rsidP="00EC032D">
                        <w:pPr>
                          <w:pStyle w:val="ListParagraph"/>
                          <w:numPr>
                            <w:ilvl w:val="0"/>
                            <w:numId w:val="3"/>
                          </w:numPr>
                        </w:pPr>
                        <w:r>
                          <w:t xml:space="preserve">Normal hours of operation </w:t>
                        </w:r>
                        <w:proofErr w:type="gramStart"/>
                        <w:r>
                          <w:t xml:space="preserve">are </w:t>
                        </w:r>
                        <w:r w:rsidR="004005F2" w:rsidRPr="004005F2">
                          <w:t xml:space="preserve"> 8:00</w:t>
                        </w:r>
                        <w:proofErr w:type="gramEnd"/>
                        <w:r w:rsidR="004005F2" w:rsidRPr="004005F2">
                          <w:t xml:space="preserve"> a.m. - 5:00 p.m. Monday through Friday, excluding holidays. </w:t>
                        </w:r>
                        <w:r>
                          <w:t>Arrangements for operation outside these hours must be made by contacting the facility manager. All overtime is governed by state and facility overtime rules. Rules can be obtained at the facility office or by contacting the pen operator at</w:t>
                        </w:r>
                        <w:r w:rsidR="004005F2" w:rsidRPr="004005F2">
                          <w:t xml:space="preserve"> least 24 hours in advance to </w:t>
                        </w:r>
                        <w:proofErr w:type="gramStart"/>
                        <w:r w:rsidR="004005F2" w:rsidRPr="004005F2">
                          <w:t>make arrangements</w:t>
                        </w:r>
                        <w:proofErr w:type="gramEnd"/>
                        <w:r w:rsidR="004005F2" w:rsidRPr="004005F2">
                          <w:t xml:space="preserve"> for operation outside of these hours.  </w:t>
                        </w:r>
                      </w:p>
                      <w:p w14:paraId="6D0A61DC" w14:textId="77777777" w:rsidR="00EC032D" w:rsidRDefault="004005F2" w:rsidP="00EC032D">
                        <w:pPr>
                          <w:pStyle w:val="ListParagraph"/>
                          <w:numPr>
                            <w:ilvl w:val="0"/>
                            <w:numId w:val="3"/>
                          </w:numPr>
                        </w:pPr>
                        <w:r w:rsidRPr="004005F2">
                          <w:t>Fees for use of the facility and other services are due at time of service and the fee schedule is posted inside the office.  Payment must be by</w:t>
                        </w:r>
                        <w:r>
                          <w:t xml:space="preserve"> electronic</w:t>
                        </w:r>
                        <w:r w:rsidRPr="004005F2">
                          <w:t xml:space="preserve"> check</w:t>
                        </w:r>
                        <w:r w:rsidR="00E85A01">
                          <w:t>, debit or credit card</w:t>
                        </w:r>
                        <w:r w:rsidRPr="004005F2">
                          <w:t>.  Cash is not accepted.   </w:t>
                        </w:r>
                        <w:hyperlink r:id="rId5" w:history="1">
                          <w:r w:rsidRPr="004005F2">
                            <w:rPr>
                              <w:rStyle w:val="Hyperlink"/>
                            </w:rPr>
                            <w:t>Click here to view</w:t>
                          </w:r>
                          <w:r w:rsidRPr="004005F2">
                            <w:rPr>
                              <w:rStyle w:val="Hyperlink"/>
                            </w:rPr>
                            <w:t xml:space="preserve"> </w:t>
                          </w:r>
                          <w:r w:rsidRPr="004005F2">
                            <w:rPr>
                              <w:rStyle w:val="Hyperlink"/>
                            </w:rPr>
                            <w:t>the Export Pen Fee Schedule</w:t>
                          </w:r>
                        </w:hyperlink>
                        <w:r w:rsidRPr="004005F2">
                          <w:t>.  </w:t>
                        </w:r>
                      </w:p>
                      <w:p w14:paraId="7D22D5D6" w14:textId="77777777" w:rsidR="00EC032D" w:rsidRDefault="004005F2" w:rsidP="00EC032D">
                        <w:pPr>
                          <w:pStyle w:val="ListParagraph"/>
                          <w:numPr>
                            <w:ilvl w:val="0"/>
                            <w:numId w:val="3"/>
                          </w:numPr>
                        </w:pPr>
                        <w:r w:rsidRPr="004005F2">
                          <w:t xml:space="preserve">Proper USDA or Canadian health papers </w:t>
                        </w:r>
                        <w:r w:rsidR="003B6057">
                          <w:t xml:space="preserve">must accompany all livestock and the facility manager must examine these papers before </w:t>
                        </w:r>
                        <w:r w:rsidRPr="004005F2">
                          <w:t>livestock can be unloaded. </w:t>
                        </w:r>
                      </w:p>
                      <w:p w14:paraId="33B16F7A" w14:textId="77777777" w:rsidR="00EC032D" w:rsidRDefault="004005F2" w:rsidP="00EC032D">
                        <w:pPr>
                          <w:pStyle w:val="ListParagraph"/>
                          <w:numPr>
                            <w:ilvl w:val="0"/>
                            <w:numId w:val="3"/>
                          </w:numPr>
                        </w:pPr>
                        <w:r w:rsidRPr="004005F2">
                          <w:t>Animals are unloaded in the order they arrive at the facility. However, facility managers may expedite the unloading of shipments if they believe the animals may be in distress or may suffer undue hardship if not unloaded promptly. </w:t>
                        </w:r>
                      </w:p>
                      <w:p w14:paraId="1CE3A050" w14:textId="77777777" w:rsidR="00EC032D" w:rsidRDefault="004005F2" w:rsidP="00EC032D">
                        <w:pPr>
                          <w:pStyle w:val="ListParagraph"/>
                          <w:numPr>
                            <w:ilvl w:val="0"/>
                            <w:numId w:val="3"/>
                          </w:numPr>
                        </w:pPr>
                        <w:r w:rsidRPr="004005F2">
                          <w:t>TDA personnel must supervise loading and unloading of livestock.</w:t>
                        </w:r>
                      </w:p>
                      <w:p w14:paraId="1C105486" w14:textId="77777777" w:rsidR="00EC032D" w:rsidRDefault="004005F2" w:rsidP="00EC032D">
                        <w:pPr>
                          <w:pStyle w:val="ListParagraph"/>
                          <w:numPr>
                            <w:ilvl w:val="0"/>
                            <w:numId w:val="3"/>
                          </w:numPr>
                        </w:pPr>
                        <w:r w:rsidRPr="004005F2">
                          <w:t>If the truck driver, owner and/or broker specifies that the shipment is not to be unloaded at the facility, TDA reserves the right to require the shipment to be unloaded at any time if deemed necessary for the safety and welfare of the livestock.  If the truck driver, owner and/or broker fail to promptly comply, the shipment may be expelled from the facility. </w:t>
                        </w:r>
                      </w:p>
                      <w:p w14:paraId="7451B4A9" w14:textId="77777777" w:rsidR="004937A7" w:rsidRDefault="004005F2" w:rsidP="004937A7">
                        <w:pPr>
                          <w:pStyle w:val="ListParagraph"/>
                          <w:numPr>
                            <w:ilvl w:val="0"/>
                            <w:numId w:val="3"/>
                          </w:numPr>
                        </w:pPr>
                        <w:r w:rsidRPr="004005F2">
                          <w:t>TDA personnel will process all animals at the facility in a humane, safe and efficient manner.  T</w:t>
                        </w:r>
                        <w:r w:rsidR="00276051">
                          <w:t>DA staff</w:t>
                        </w:r>
                        <w:r w:rsidRPr="004005F2">
                          <w:t xml:space="preserve"> will report any instances of animal abuse or neglect to the appropriate USDA and Texas Animal Health Commission offices in accordance with established policies and procedures.</w:t>
                        </w:r>
                      </w:p>
                      <w:p w14:paraId="3740B5DA" w14:textId="77777777" w:rsidR="004937A7" w:rsidRDefault="004005F2" w:rsidP="004937A7">
                        <w:pPr>
                          <w:pStyle w:val="ListParagraph"/>
                          <w:numPr>
                            <w:ilvl w:val="0"/>
                            <w:numId w:val="3"/>
                          </w:numPr>
                        </w:pPr>
                        <w:r w:rsidRPr="004005F2">
                          <w:t>TDA will work in conjunction with USDA, the Texas Animal Health Commission and appropriate local agencies to ensure the welfare of all livestock processed through the facility. </w:t>
                        </w:r>
                      </w:p>
                      <w:p w14:paraId="604F74CB" w14:textId="77777777" w:rsidR="004937A7" w:rsidRDefault="00D91E7C" w:rsidP="004937A7">
                        <w:pPr>
                          <w:pStyle w:val="ListParagraph"/>
                          <w:numPr>
                            <w:ilvl w:val="0"/>
                            <w:numId w:val="3"/>
                          </w:numPr>
                        </w:pPr>
                        <w:r>
                          <w:t>T</w:t>
                        </w:r>
                        <w:r w:rsidR="004005F2" w:rsidRPr="004005F2">
                          <w:t>DA is not responsible for any costs associated with the death or injury of livestock while at these facilities, whether on trailers or in the pens. </w:t>
                        </w:r>
                      </w:p>
                      <w:p w14:paraId="0FDDF191" w14:textId="77777777" w:rsidR="00230FF9" w:rsidRDefault="004005F2" w:rsidP="00230FF9">
                        <w:pPr>
                          <w:pStyle w:val="ListParagraph"/>
                          <w:numPr>
                            <w:ilvl w:val="0"/>
                            <w:numId w:val="3"/>
                          </w:numPr>
                        </w:pPr>
                        <w:r w:rsidRPr="004005F2">
                          <w:t xml:space="preserve">The truck driver, livestock owner and/or broker are responsible for removal and disposal of all animals that are dead upon arrival at the facility and any animals that expire at the facility.  Deceased animals are to be removed promptly and under no circumstances will be allowed to remain at the facility overnight.  </w:t>
                        </w:r>
                      </w:p>
                      <w:p w14:paraId="11766DF4" w14:textId="3727E08A" w:rsidR="00EC032D" w:rsidRDefault="004005F2" w:rsidP="00230FF9">
                        <w:pPr>
                          <w:pStyle w:val="ListParagraph"/>
                          <w:numPr>
                            <w:ilvl w:val="0"/>
                            <w:numId w:val="3"/>
                          </w:numPr>
                        </w:pPr>
                        <w:r w:rsidRPr="004005F2">
                          <w:t xml:space="preserve">Customers must discuss special bio-security requirements with the TDA at least 5 business days before the expected shipment arrival date. </w:t>
                        </w:r>
                      </w:p>
                      <w:p w14:paraId="44249254" w14:textId="77777777" w:rsidR="00EC032D" w:rsidRDefault="00EC032D" w:rsidP="00EC032D">
                        <w:pPr>
                          <w:pStyle w:val="ListParagraph"/>
                        </w:pPr>
                      </w:p>
                      <w:p w14:paraId="06E1548B" w14:textId="77777777" w:rsidR="00EC032D" w:rsidRDefault="004005F2" w:rsidP="00EC032D">
                        <w:pPr>
                          <w:pStyle w:val="ListParagraph"/>
                        </w:pPr>
                        <w:r w:rsidRPr="004005F2">
                          <w:t>Contact</w:t>
                        </w:r>
                        <w:r w:rsidR="00EC032D">
                          <w:t>:</w:t>
                        </w:r>
                      </w:p>
                      <w:p w14:paraId="04CB68F9" w14:textId="77777777" w:rsidR="00EC032D" w:rsidRDefault="004005F2" w:rsidP="00EC032D">
                        <w:pPr>
                          <w:pStyle w:val="ListParagraph"/>
                        </w:pPr>
                        <w:r w:rsidRPr="004005F2">
                          <w:t>Director, Livestock Export</w:t>
                        </w:r>
                      </w:p>
                      <w:p w14:paraId="42F9EC74" w14:textId="77777777" w:rsidR="00EC032D" w:rsidRDefault="004005F2" w:rsidP="00EC032D">
                        <w:pPr>
                          <w:pStyle w:val="ListParagraph"/>
                        </w:pPr>
                        <w:r w:rsidRPr="004005F2">
                          <w:t>Richard De Los Santos</w:t>
                        </w:r>
                      </w:p>
                      <w:p w14:paraId="286DF4B6" w14:textId="77777777" w:rsidR="00EC032D" w:rsidRDefault="004005F2" w:rsidP="00EC032D">
                        <w:pPr>
                          <w:pStyle w:val="ListParagraph"/>
                        </w:pPr>
                        <w:r w:rsidRPr="004005F2">
                          <w:lastRenderedPageBreak/>
                          <w:t>(512) 463-747</w:t>
                        </w:r>
                        <w:r w:rsidR="00EC032D">
                          <w:t>2</w:t>
                        </w:r>
                      </w:p>
                      <w:p w14:paraId="65E1497C" w14:textId="77777777" w:rsidR="00230FF9" w:rsidRDefault="00230FF9" w:rsidP="00230FF9">
                        <w:pPr>
                          <w:pStyle w:val="ListParagraph"/>
                        </w:pPr>
                        <w:hyperlink r:id="rId6" w:history="1">
                          <w:r w:rsidRPr="00E472C1">
                            <w:rPr>
                              <w:rStyle w:val="Hyperlink"/>
                            </w:rPr>
                            <w:t>Richard.DeLosSantos@TexasAgriculture.gov\</w:t>
                          </w:r>
                        </w:hyperlink>
                      </w:p>
                      <w:p w14:paraId="1DB72CF0" w14:textId="77777777" w:rsidR="00230FF9" w:rsidRDefault="004005F2" w:rsidP="00230FF9">
                        <w:pPr>
                          <w:pStyle w:val="ListParagraph"/>
                          <w:numPr>
                            <w:ilvl w:val="0"/>
                            <w:numId w:val="3"/>
                          </w:numPr>
                        </w:pPr>
                        <w:r w:rsidRPr="004005F2">
                          <w:t>TDA rules strictly prohibit selling, trading or changing ownership of livestock at the export Facility. </w:t>
                        </w:r>
                      </w:p>
                      <w:p w14:paraId="1B2038DD" w14:textId="77777777" w:rsidR="00230FF9" w:rsidRDefault="004005F2" w:rsidP="00230FF9">
                        <w:pPr>
                          <w:pStyle w:val="ListParagraph"/>
                          <w:numPr>
                            <w:ilvl w:val="0"/>
                            <w:numId w:val="3"/>
                          </w:numPr>
                        </w:pPr>
                        <w:r w:rsidRPr="004005F2">
                          <w:t>Parking is allowed in designated areas only. </w:t>
                        </w:r>
                      </w:p>
                      <w:p w14:paraId="332E0667" w14:textId="77777777" w:rsidR="00230FF9" w:rsidRDefault="004005F2" w:rsidP="00230FF9">
                        <w:pPr>
                          <w:pStyle w:val="ListParagraph"/>
                          <w:numPr>
                            <w:ilvl w:val="0"/>
                            <w:numId w:val="3"/>
                          </w:numPr>
                        </w:pPr>
                        <w:r w:rsidRPr="004005F2">
                          <w:t>Telephones are for official state business only. </w:t>
                        </w:r>
                      </w:p>
                      <w:p w14:paraId="1C999AE9" w14:textId="77777777" w:rsidR="00230FF9" w:rsidRDefault="004005F2" w:rsidP="00230FF9">
                        <w:pPr>
                          <w:pStyle w:val="ListParagraph"/>
                          <w:numPr>
                            <w:ilvl w:val="0"/>
                            <w:numId w:val="3"/>
                          </w:numPr>
                        </w:pPr>
                        <w:r w:rsidRPr="004005F2">
                          <w:t xml:space="preserve">Loitering </w:t>
                        </w:r>
                        <w:r w:rsidR="00D91E7C">
                          <w:t xml:space="preserve">is </w:t>
                        </w:r>
                        <w:r w:rsidRPr="004005F2">
                          <w:t>forbidden. </w:t>
                        </w:r>
                      </w:p>
                      <w:p w14:paraId="0361A9F6" w14:textId="77777777" w:rsidR="00230FF9" w:rsidRDefault="004005F2" w:rsidP="00230FF9">
                        <w:pPr>
                          <w:pStyle w:val="ListParagraph"/>
                          <w:numPr>
                            <w:ilvl w:val="0"/>
                            <w:numId w:val="3"/>
                          </w:numPr>
                        </w:pPr>
                        <w:r w:rsidRPr="004005F2">
                          <w:t>Visitors are not allowed in livestock areas unless accompanied by a TDA employee.</w:t>
                        </w:r>
                      </w:p>
                      <w:p w14:paraId="7748712E" w14:textId="77777777" w:rsidR="00230FF9" w:rsidRDefault="00D91E7C" w:rsidP="00230FF9">
                        <w:pPr>
                          <w:pStyle w:val="ListParagraph"/>
                          <w:numPr>
                            <w:ilvl w:val="0"/>
                            <w:numId w:val="3"/>
                          </w:numPr>
                        </w:pPr>
                        <w:r w:rsidRPr="00D91E7C">
                          <w:t>Consumption or possession of alcoholic beverages is forbidden on state property.</w:t>
                        </w:r>
                      </w:p>
                      <w:p w14:paraId="4E4597DC" w14:textId="3D9AD0C9" w:rsidR="00D91E7C" w:rsidRPr="004005F2" w:rsidRDefault="00D91E7C" w:rsidP="00230FF9">
                        <w:pPr>
                          <w:pStyle w:val="ListParagraph"/>
                          <w:numPr>
                            <w:ilvl w:val="0"/>
                            <w:numId w:val="3"/>
                          </w:numPr>
                        </w:pPr>
                        <w:r w:rsidRPr="00D91E7C">
                          <w:t>TDA computers are to be used for livestock export facility business onl</w:t>
                        </w:r>
                        <w:r>
                          <w:t>y.</w:t>
                        </w:r>
                      </w:p>
                    </w:tc>
                  </w:tr>
                  <w:tr w:rsidR="004005F2" w:rsidRPr="004005F2" w14:paraId="540158B6" w14:textId="77777777" w:rsidTr="004005F2">
                    <w:trPr>
                      <w:tblCellSpacing w:w="0" w:type="dxa"/>
                    </w:trPr>
                    <w:tc>
                      <w:tcPr>
                        <w:tcW w:w="0" w:type="auto"/>
                        <w:vAlign w:val="center"/>
                        <w:hideMark/>
                      </w:tcPr>
                      <w:p w14:paraId="44F3B206" w14:textId="77777777" w:rsidR="004005F2" w:rsidRPr="004005F2" w:rsidRDefault="004005F2" w:rsidP="004005F2"/>
                    </w:tc>
                  </w:tr>
                </w:tbl>
                <w:p w14:paraId="52B5115D" w14:textId="77777777" w:rsidR="004005F2" w:rsidRPr="004005F2" w:rsidRDefault="004005F2" w:rsidP="004005F2"/>
              </w:tc>
            </w:tr>
          </w:tbl>
          <w:p w14:paraId="394AD6DC" w14:textId="77777777" w:rsidR="004005F2" w:rsidRPr="004005F2" w:rsidRDefault="004005F2" w:rsidP="004005F2"/>
        </w:tc>
        <w:bookmarkStart w:id="0" w:name="2340"/>
        <w:bookmarkEnd w:id="0"/>
      </w:tr>
    </w:tbl>
    <w:p w14:paraId="7344F9AA" w14:textId="77777777" w:rsidR="0083015B" w:rsidRDefault="0083015B"/>
    <w:sectPr w:rsidR="00830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B66EF"/>
    <w:multiLevelType w:val="hybridMultilevel"/>
    <w:tmpl w:val="4DD6818C"/>
    <w:lvl w:ilvl="0" w:tplc="BAEA2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40A1A"/>
    <w:multiLevelType w:val="hybridMultilevel"/>
    <w:tmpl w:val="38CAF08A"/>
    <w:lvl w:ilvl="0" w:tplc="984AF96C">
      <w:start w:val="1"/>
      <w:numFmt w:val="decimal"/>
      <w:lvlText w:val="%1."/>
      <w:lvlJc w:val="left"/>
      <w:pPr>
        <w:ind w:left="975"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F6944"/>
    <w:multiLevelType w:val="hybridMultilevel"/>
    <w:tmpl w:val="E0965816"/>
    <w:lvl w:ilvl="0" w:tplc="10C0E604">
      <w:start w:val="1"/>
      <w:numFmt w:val="decimal"/>
      <w:lvlText w:val="%1."/>
      <w:lvlJc w:val="left"/>
      <w:pPr>
        <w:ind w:left="413" w:hanging="360"/>
      </w:pPr>
      <w:rPr>
        <w:rFonts w:hint="default"/>
      </w:rPr>
    </w:lvl>
    <w:lvl w:ilvl="1" w:tplc="04090019" w:tentative="1">
      <w:start w:val="1"/>
      <w:numFmt w:val="lowerLetter"/>
      <w:lvlText w:val="%2."/>
      <w:lvlJc w:val="left"/>
      <w:pPr>
        <w:ind w:left="1133" w:hanging="360"/>
      </w:pPr>
    </w:lvl>
    <w:lvl w:ilvl="2" w:tplc="0409001B" w:tentative="1">
      <w:start w:val="1"/>
      <w:numFmt w:val="lowerRoman"/>
      <w:lvlText w:val="%3."/>
      <w:lvlJc w:val="right"/>
      <w:pPr>
        <w:ind w:left="1853" w:hanging="180"/>
      </w:pPr>
    </w:lvl>
    <w:lvl w:ilvl="3" w:tplc="0409000F" w:tentative="1">
      <w:start w:val="1"/>
      <w:numFmt w:val="decimal"/>
      <w:lvlText w:val="%4."/>
      <w:lvlJc w:val="left"/>
      <w:pPr>
        <w:ind w:left="2573" w:hanging="360"/>
      </w:pPr>
    </w:lvl>
    <w:lvl w:ilvl="4" w:tplc="04090019" w:tentative="1">
      <w:start w:val="1"/>
      <w:numFmt w:val="lowerLetter"/>
      <w:lvlText w:val="%5."/>
      <w:lvlJc w:val="left"/>
      <w:pPr>
        <w:ind w:left="3293" w:hanging="360"/>
      </w:pPr>
    </w:lvl>
    <w:lvl w:ilvl="5" w:tplc="0409001B" w:tentative="1">
      <w:start w:val="1"/>
      <w:numFmt w:val="lowerRoman"/>
      <w:lvlText w:val="%6."/>
      <w:lvlJc w:val="right"/>
      <w:pPr>
        <w:ind w:left="4013" w:hanging="180"/>
      </w:pPr>
    </w:lvl>
    <w:lvl w:ilvl="6" w:tplc="0409000F" w:tentative="1">
      <w:start w:val="1"/>
      <w:numFmt w:val="decimal"/>
      <w:lvlText w:val="%7."/>
      <w:lvlJc w:val="left"/>
      <w:pPr>
        <w:ind w:left="4733" w:hanging="360"/>
      </w:pPr>
    </w:lvl>
    <w:lvl w:ilvl="7" w:tplc="04090019" w:tentative="1">
      <w:start w:val="1"/>
      <w:numFmt w:val="lowerLetter"/>
      <w:lvlText w:val="%8."/>
      <w:lvlJc w:val="left"/>
      <w:pPr>
        <w:ind w:left="5453" w:hanging="360"/>
      </w:pPr>
    </w:lvl>
    <w:lvl w:ilvl="8" w:tplc="0409001B" w:tentative="1">
      <w:start w:val="1"/>
      <w:numFmt w:val="lowerRoman"/>
      <w:lvlText w:val="%9."/>
      <w:lvlJc w:val="right"/>
      <w:pPr>
        <w:ind w:left="6173" w:hanging="180"/>
      </w:pPr>
    </w:lvl>
  </w:abstractNum>
  <w:num w:numId="1" w16cid:durableId="641228387">
    <w:abstractNumId w:val="1"/>
  </w:num>
  <w:num w:numId="2" w16cid:durableId="873034595">
    <w:abstractNumId w:val="0"/>
  </w:num>
  <w:num w:numId="3" w16cid:durableId="10124911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5F2"/>
    <w:rsid w:val="00230FF9"/>
    <w:rsid w:val="00276051"/>
    <w:rsid w:val="00315ED1"/>
    <w:rsid w:val="003B6057"/>
    <w:rsid w:val="004005F2"/>
    <w:rsid w:val="004937A7"/>
    <w:rsid w:val="0083015B"/>
    <w:rsid w:val="00D91E7C"/>
    <w:rsid w:val="00E85A01"/>
    <w:rsid w:val="00EC0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2BC8F"/>
  <w15:chartTrackingRefBased/>
  <w15:docId w15:val="{891EA6AD-7E36-473F-88F0-EEFB89CE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05F2"/>
    <w:rPr>
      <w:color w:val="0563C1" w:themeColor="hyperlink"/>
      <w:u w:val="single"/>
    </w:rPr>
  </w:style>
  <w:style w:type="character" w:styleId="UnresolvedMention">
    <w:name w:val="Unresolved Mention"/>
    <w:basedOn w:val="DefaultParagraphFont"/>
    <w:uiPriority w:val="99"/>
    <w:semiHidden/>
    <w:unhideWhenUsed/>
    <w:rsid w:val="004005F2"/>
    <w:rPr>
      <w:color w:val="605E5C"/>
      <w:shd w:val="clear" w:color="auto" w:fill="E1DFDD"/>
    </w:rPr>
  </w:style>
  <w:style w:type="paragraph" w:styleId="Revision">
    <w:name w:val="Revision"/>
    <w:hidden/>
    <w:uiPriority w:val="99"/>
    <w:semiHidden/>
    <w:rsid w:val="004005F2"/>
    <w:pPr>
      <w:spacing w:after="0" w:line="240" w:lineRule="auto"/>
    </w:pPr>
  </w:style>
  <w:style w:type="paragraph" w:styleId="ListParagraph">
    <w:name w:val="List Paragraph"/>
    <w:basedOn w:val="Normal"/>
    <w:uiPriority w:val="34"/>
    <w:qFormat/>
    <w:rsid w:val="00D91E7C"/>
    <w:pPr>
      <w:ind w:left="720"/>
      <w:contextualSpacing/>
    </w:pPr>
  </w:style>
  <w:style w:type="character" w:styleId="FollowedHyperlink">
    <w:name w:val="FollowedHyperlink"/>
    <w:basedOn w:val="DefaultParagraphFont"/>
    <w:uiPriority w:val="99"/>
    <w:semiHidden/>
    <w:unhideWhenUsed/>
    <w:rsid w:val="00230F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4889">
      <w:bodyDiv w:val="1"/>
      <w:marLeft w:val="0"/>
      <w:marRight w:val="0"/>
      <w:marTop w:val="0"/>
      <w:marBottom w:val="0"/>
      <w:divBdr>
        <w:top w:val="none" w:sz="0" w:space="0" w:color="auto"/>
        <w:left w:val="none" w:sz="0" w:space="0" w:color="auto"/>
        <w:bottom w:val="none" w:sz="0" w:space="0" w:color="auto"/>
        <w:right w:val="none" w:sz="0" w:space="0" w:color="auto"/>
      </w:divBdr>
      <w:divsChild>
        <w:div w:id="14816536">
          <w:marLeft w:val="0"/>
          <w:marRight w:val="0"/>
          <w:marTop w:val="0"/>
          <w:marBottom w:val="0"/>
          <w:divBdr>
            <w:top w:val="none" w:sz="0" w:space="0" w:color="auto"/>
            <w:left w:val="none" w:sz="0" w:space="0" w:color="auto"/>
            <w:bottom w:val="none" w:sz="0" w:space="0" w:color="auto"/>
            <w:right w:val="none" w:sz="0" w:space="0" w:color="auto"/>
          </w:divBdr>
          <w:divsChild>
            <w:div w:id="731579934">
              <w:marLeft w:val="0"/>
              <w:marRight w:val="0"/>
              <w:marTop w:val="0"/>
              <w:marBottom w:val="0"/>
              <w:divBdr>
                <w:top w:val="none" w:sz="0" w:space="0" w:color="auto"/>
                <w:left w:val="none" w:sz="0" w:space="0" w:color="auto"/>
                <w:bottom w:val="none" w:sz="0" w:space="0" w:color="auto"/>
                <w:right w:val="none" w:sz="0" w:space="0" w:color="auto"/>
              </w:divBdr>
              <w:divsChild>
                <w:div w:id="7209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chard.DeLosSantos@TexasAgriculture.gov\" TargetMode="External"/><Relationship Id="rId5" Type="http://schemas.openxmlformats.org/officeDocument/2006/relationships/hyperlink" Target="http://www.texasagriculture.gov/Home/ProductionAgriculture/LivestockExportPens/ExportPenFee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1147</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De Los Santos</dc:creator>
  <cp:keywords/>
  <dc:description/>
  <cp:lastModifiedBy>Richard De Los Santos</cp:lastModifiedBy>
  <cp:revision>3</cp:revision>
  <dcterms:created xsi:type="dcterms:W3CDTF">2022-08-31T16:53:00Z</dcterms:created>
  <dcterms:modified xsi:type="dcterms:W3CDTF">2022-09-01T13:29:00Z</dcterms:modified>
</cp:coreProperties>
</file>